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88345168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  <w:szCs w:val="20"/>
          <w:lang w:val="sr-Latn-RS"/>
        </w:rPr>
      </w:sdtEndPr>
      <w:sdtContent>
        <w:p w:rsidR="005666DA" w:rsidRDefault="005666DA"/>
        <w:p w:rsidR="00992DA3" w:rsidRPr="00992DA3" w:rsidRDefault="00992DA3" w:rsidP="00992DA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</w:p>
        <w:p w:rsidR="00992DA3" w:rsidRPr="00992DA3" w:rsidRDefault="00992DA3" w:rsidP="00992DA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992DA3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REPUBLIKA SRBIJA</w:t>
          </w:r>
        </w:p>
        <w:p w:rsidR="00992DA3" w:rsidRPr="00992DA3" w:rsidRDefault="00992DA3" w:rsidP="00992DA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992DA3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NARODNA SKUPŠTINA</w:t>
          </w:r>
        </w:p>
        <w:p w:rsidR="00992DA3" w:rsidRPr="00992DA3" w:rsidRDefault="00992DA3" w:rsidP="00992DA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992DA3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 NARODNE SKUPŠTINE</w:t>
          </w: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sr-Cyrl-CS"/>
            </w:rPr>
          </w:pP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sr-Cyrl-CS"/>
            </w:rPr>
          </w:pP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sr-Cyrl-CS"/>
            </w:rPr>
          </w:pP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bs-Cyrl-BA"/>
            </w:rPr>
          </w:pPr>
          <w:r w:rsidRPr="00992DA3">
            <w:rPr>
              <w:rFonts w:ascii="Arial" w:hAnsi="Arial" w:cs="Arial"/>
              <w:sz w:val="20"/>
              <w:szCs w:val="20"/>
              <w:lang w:val="bs-Cyrl-BA"/>
            </w:rPr>
            <w:t xml:space="preserve">  </w:t>
          </w:r>
        </w:p>
        <w:p w:rsidR="00992DA3" w:rsidRPr="009F6E19" w:rsidRDefault="00992DA3" w:rsidP="00992DA3">
          <w:pPr>
            <w:spacing w:line="360" w:lineRule="auto"/>
            <w:rPr>
              <w:rFonts w:ascii="Arial" w:eastAsia="Calibri" w:hAnsi="Arial" w:cs="Arial"/>
              <w:b/>
              <w:sz w:val="24"/>
              <w:szCs w:val="24"/>
              <w:lang w:val="bs-Cyrl-BA"/>
            </w:rPr>
          </w:pPr>
          <w:r w:rsidRPr="00992DA3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Tema: 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Položaj</w:t>
          </w:r>
          <w:r w:rsidRPr="009F6E19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mladih</w:t>
          </w:r>
          <w:r w:rsidRPr="009F6E19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u</w:t>
          </w:r>
          <w:r w:rsidRPr="009F6E19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sistemu</w:t>
          </w:r>
          <w:r w:rsidRPr="009F6E19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socijalne</w:t>
          </w:r>
          <w:r w:rsidRPr="009F6E19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zaštite</w:t>
          </w:r>
        </w:p>
        <w:p w:rsidR="00992DA3" w:rsidRPr="00992DA3" w:rsidRDefault="00992DA3" w:rsidP="00992DA3">
          <w:pPr>
            <w:spacing w:line="360" w:lineRule="auto"/>
            <w:rPr>
              <w:rFonts w:ascii="Arial" w:eastAsia="Calibri" w:hAnsi="Arial" w:cs="Arial"/>
              <w:b/>
              <w:sz w:val="24"/>
              <w:szCs w:val="24"/>
              <w:lang w:val="bs-Cyrl-BA"/>
            </w:rPr>
          </w:pP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992DA3" w:rsidRPr="00992DA3" w:rsidRDefault="00992DA3" w:rsidP="00992DA3">
          <w:pPr>
            <w:tabs>
              <w:tab w:val="left" w:pos="0"/>
            </w:tabs>
            <w:spacing w:line="360" w:lineRule="auto"/>
            <w:ind w:left="270"/>
            <w:rPr>
              <w:rFonts w:ascii="Arial" w:hAnsi="Arial" w:cs="Arial"/>
              <w:b/>
              <w:sz w:val="28"/>
              <w:szCs w:val="28"/>
              <w:lang w:val="bs-Cyrl-BA"/>
            </w:rPr>
          </w:pPr>
          <w:r w:rsidRPr="00992DA3">
            <w:rPr>
              <w:rFonts w:ascii="Arial" w:hAnsi="Arial" w:cs="Arial"/>
              <w:b/>
              <w:sz w:val="28"/>
              <w:szCs w:val="28"/>
              <w:lang w:val="bs-Cyrl-BA"/>
            </w:rPr>
            <w:t>Datum:  1</w:t>
          </w:r>
          <w:r>
            <w:rPr>
              <w:rFonts w:ascii="Arial" w:hAnsi="Arial" w:cs="Arial"/>
              <w:b/>
              <w:sz w:val="28"/>
              <w:szCs w:val="28"/>
              <w:lang w:val="sr-Latn-RS"/>
            </w:rPr>
            <w:t>8</w:t>
          </w:r>
          <w:r w:rsidRPr="00992DA3">
            <w:rPr>
              <w:rFonts w:ascii="Arial" w:hAnsi="Arial" w:cs="Arial"/>
              <w:b/>
              <w:sz w:val="28"/>
              <w:szCs w:val="28"/>
              <w:lang w:val="bs-Cyrl-BA"/>
            </w:rPr>
            <w:t>.11.2013.</w:t>
          </w:r>
        </w:p>
        <w:p w:rsidR="00992DA3" w:rsidRPr="00992DA3" w:rsidRDefault="00992DA3" w:rsidP="00992DA3">
          <w:pPr>
            <w:tabs>
              <w:tab w:val="left" w:pos="567"/>
            </w:tabs>
            <w:spacing w:line="360" w:lineRule="auto"/>
            <w:ind w:left="270"/>
            <w:rPr>
              <w:rFonts w:ascii="Arial" w:hAnsi="Arial" w:cs="Arial"/>
              <w:b/>
              <w:sz w:val="28"/>
              <w:szCs w:val="28"/>
              <w:lang w:val="bs-Cyrl-BA"/>
            </w:rPr>
          </w:pPr>
          <w:r w:rsidRPr="00992DA3">
            <w:rPr>
              <w:rFonts w:ascii="Arial" w:hAnsi="Arial" w:cs="Arial"/>
              <w:b/>
              <w:sz w:val="28"/>
              <w:szCs w:val="28"/>
              <w:lang w:val="bs-Cyrl-BA"/>
            </w:rPr>
            <w:t>Br. Z-1</w:t>
          </w:r>
          <w:r>
            <w:rPr>
              <w:rFonts w:ascii="Arial" w:hAnsi="Arial" w:cs="Arial"/>
              <w:b/>
              <w:sz w:val="28"/>
              <w:szCs w:val="28"/>
              <w:lang w:val="sr-Latn-RS"/>
            </w:rPr>
            <w:t>8</w:t>
          </w:r>
          <w:r w:rsidRPr="00992DA3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 /13</w:t>
          </w:r>
        </w:p>
        <w:p w:rsidR="00992DA3" w:rsidRPr="00992DA3" w:rsidRDefault="00992DA3" w:rsidP="00992DA3">
          <w:pPr>
            <w:rPr>
              <w:rFonts w:ascii="Arial" w:hAnsi="Arial"/>
              <w:sz w:val="24"/>
              <w:szCs w:val="24"/>
              <w:lang w:val="bs-Cyrl-BA"/>
            </w:rPr>
          </w:pPr>
        </w:p>
        <w:p w:rsidR="00992DA3" w:rsidRPr="00992DA3" w:rsidRDefault="00992DA3" w:rsidP="00992DA3">
          <w:pPr>
            <w:rPr>
              <w:rFonts w:ascii="Arial" w:hAnsi="Arial"/>
              <w:sz w:val="24"/>
              <w:szCs w:val="24"/>
              <w:lang w:val="bs-Cyrl-BA"/>
            </w:rPr>
          </w:pPr>
        </w:p>
        <w:p w:rsidR="00992DA3" w:rsidRPr="00992DA3" w:rsidRDefault="00992DA3" w:rsidP="00992DA3">
          <w:pPr>
            <w:rPr>
              <w:rFonts w:ascii="Arial" w:hAnsi="Arial"/>
              <w:sz w:val="24"/>
              <w:szCs w:val="24"/>
              <w:lang w:val="sr-Latn-RS"/>
            </w:rPr>
          </w:pPr>
        </w:p>
        <w:p w:rsidR="00992DA3" w:rsidRPr="00992DA3" w:rsidRDefault="00992DA3" w:rsidP="00992DA3">
          <w:pPr>
            <w:rPr>
              <w:rFonts w:ascii="Arial" w:hAnsi="Arial"/>
              <w:sz w:val="24"/>
              <w:szCs w:val="24"/>
              <w:lang w:val="sr-Latn-RS"/>
            </w:rPr>
          </w:pPr>
        </w:p>
        <w:p w:rsidR="00992DA3" w:rsidRPr="00992DA3" w:rsidRDefault="00992DA3" w:rsidP="00992DA3">
          <w:pPr>
            <w:rPr>
              <w:rFonts w:ascii="Arial" w:hAnsi="Arial"/>
              <w:sz w:val="24"/>
              <w:szCs w:val="24"/>
              <w:lang w:val="bs-Cyrl-BA"/>
            </w:rPr>
          </w:pPr>
        </w:p>
        <w:p w:rsidR="00992DA3" w:rsidRPr="00992DA3" w:rsidRDefault="00992DA3" w:rsidP="00992DA3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sz w:val="20"/>
              <w:szCs w:val="20"/>
              <w:lang w:val="bs-Cyrl-BA"/>
            </w:rPr>
          </w:pPr>
          <w:bookmarkStart w:id="0" w:name="_Toc196037342"/>
          <w:bookmarkEnd w:id="0"/>
          <w:r w:rsidRPr="00992DA3">
            <w:rPr>
              <w:rFonts w:ascii="Arial" w:hAnsi="Arial" w:cs="Arial"/>
              <w:b/>
              <w:sz w:val="20"/>
              <w:szCs w:val="20"/>
              <w:lang w:val="bs-Cyrl-BA"/>
            </w:rPr>
            <w:t xml:space="preserve">Ovo istraživanje je uradila Biblioteka Narodne skupštine za potrebe rada narodnih poslanika i Službe Narodne skupštine. Za više informacija molimo da nas kontaktirate putem telefona 3026-532 i elektronske pošte </w:t>
          </w:r>
          <w:hyperlink r:id="rId9" w:history="1">
            <w:r w:rsidRPr="00992DA3">
              <w:rPr>
                <w:rFonts w:ascii="Arial" w:hAnsi="Arial" w:cs="Arial"/>
                <w:b/>
                <w:i/>
                <w:color w:val="0000FF"/>
                <w:sz w:val="20"/>
                <w:szCs w:val="20"/>
                <w:u w:val="single"/>
                <w:lang w:val="bs-Cyrl-BA"/>
              </w:rPr>
              <w:t>istrazivanja@parlament.rs</w:t>
            </w:r>
            <w:r w:rsidRPr="00992DA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bs-Cyrl-BA"/>
              </w:rPr>
              <w:t>.</w:t>
            </w:r>
          </w:hyperlink>
          <w:r w:rsidRPr="00992DA3">
            <w:rPr>
              <w:rFonts w:ascii="Arial" w:hAnsi="Arial" w:cs="Arial"/>
              <w:b/>
              <w:sz w:val="20"/>
              <w:szCs w:val="20"/>
              <w:lang w:val="bs-Cyrl-BA"/>
            </w:rPr>
            <w:t xml:space="preserve"> Istraživanja koja priprema Biblioteka Narodne </w:t>
          </w:r>
          <w:r w:rsidRPr="00992DA3">
            <w:rPr>
              <w:rFonts w:ascii="Arial" w:hAnsi="Arial" w:cs="Arial"/>
              <w:b/>
              <w:spacing w:val="-4"/>
              <w:sz w:val="20"/>
              <w:szCs w:val="20"/>
              <w:lang w:val="bs-Cyrl-BA"/>
            </w:rPr>
            <w:t>skupštine ne odražavaju zvanični stav Narodne skupštine Republike</w:t>
          </w:r>
          <w:r w:rsidRPr="00992DA3">
            <w:rPr>
              <w:rFonts w:ascii="Arial" w:hAnsi="Arial" w:cs="Arial"/>
              <w:b/>
              <w:sz w:val="20"/>
              <w:szCs w:val="20"/>
              <w:lang w:val="bs-Cyrl-BA"/>
            </w:rPr>
            <w:t xml:space="preserve"> Srbije. </w:t>
          </w:r>
        </w:p>
        <w:p w:rsidR="00992DA3" w:rsidRPr="00992DA3" w:rsidRDefault="00992DA3" w:rsidP="005666DA">
          <w:pPr>
            <w:rPr>
              <w:lang w:val="sr-Latn-RS"/>
            </w:rPr>
          </w:pPr>
        </w:p>
        <w:p w:rsidR="005666DA" w:rsidRPr="005666DA" w:rsidRDefault="005666DA">
          <w:pPr>
            <w:rPr>
              <w:rFonts w:ascii="Arial" w:hAnsi="Arial" w:cs="Arial"/>
              <w:b/>
              <w:bCs/>
              <w:sz w:val="20"/>
              <w:szCs w:val="20"/>
              <w:lang w:val="sr-Latn-RS"/>
            </w:rPr>
          </w:pPr>
          <w:r w:rsidRPr="005666DA">
            <w:rPr>
              <w:rFonts w:ascii="Arial" w:hAnsi="Arial" w:cs="Arial"/>
              <w:b/>
              <w:bCs/>
              <w:sz w:val="20"/>
              <w:szCs w:val="20"/>
              <w:lang w:val="sr-Latn-RS"/>
            </w:rPr>
            <w:t>SADRŽAJ</w:t>
          </w:r>
        </w:p>
        <w:p w:rsidR="005666DA" w:rsidRPr="005666DA" w:rsidRDefault="005666DA">
          <w:pPr>
            <w:rPr>
              <w:lang w:val="bs-Cyrl-BA"/>
            </w:rPr>
          </w:pPr>
        </w:p>
        <w:p w:rsidR="00992DA3" w:rsidRDefault="00992DA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Fonts w:cs="Arial"/>
              <w:b/>
              <w:bCs/>
              <w:szCs w:val="20"/>
              <w:lang w:val="sr-Latn-RS"/>
            </w:rPr>
            <w:fldChar w:fldCharType="begin"/>
          </w:r>
          <w:r>
            <w:rPr>
              <w:rFonts w:cs="Arial"/>
              <w:b/>
              <w:bCs/>
              <w:szCs w:val="20"/>
              <w:lang w:val="sr-Latn-RS"/>
            </w:rPr>
            <w:instrText xml:space="preserve"> TOC \o "1-2" \h \z \u </w:instrText>
          </w:r>
          <w:r>
            <w:rPr>
              <w:rFonts w:cs="Arial"/>
              <w:b/>
              <w:bCs/>
              <w:szCs w:val="20"/>
              <w:lang w:val="sr-Latn-RS"/>
            </w:rPr>
            <w:fldChar w:fldCharType="separate"/>
          </w:r>
          <w:hyperlink w:anchor="_Toc373492988" w:history="1">
            <w:r w:rsidRPr="00AE3E8A">
              <w:rPr>
                <w:rStyle w:val="Hyperlink"/>
                <w:rFonts w:eastAsia="Calibri"/>
                <w:noProof/>
                <w:lang w:val="sr-Latn-RS"/>
              </w:rPr>
              <w:t>U</w:t>
            </w:r>
            <w:r w:rsidRPr="00AE3E8A">
              <w:rPr>
                <w:rStyle w:val="Hyperlink"/>
                <w:rFonts w:eastAsia="Calibri"/>
                <w:noProof/>
                <w:lang w:val="sr-Cyrl-CS"/>
              </w:rPr>
              <w:t>vod (nazaposlenost i ekonomska kriza)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_Toc373492988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2DA3" w:rsidRDefault="00A56C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2989" w:history="1">
            <w:r w:rsidR="00992DA3" w:rsidRPr="00AE3E8A">
              <w:rPr>
                <w:rStyle w:val="Hyperlink"/>
                <w:rFonts w:eastAsia="Calibri"/>
                <w:noProof/>
                <w:lang w:val="sr-Cyrl-CS"/>
              </w:rPr>
              <w:t>S</w:t>
            </w:r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truktura nezaposlen</w:t>
            </w:r>
            <w:r w:rsidR="00992DA3" w:rsidRPr="00AE3E8A">
              <w:rPr>
                <w:rStyle w:val="Hyperlink"/>
                <w:rFonts w:eastAsia="Calibri"/>
                <w:noProof/>
                <w:lang w:val="sr-Cyrl-CS"/>
              </w:rPr>
              <w:t>osti</w:t>
            </w:r>
            <w:r w:rsidR="00992DA3">
              <w:rPr>
                <w:noProof/>
                <w:webHidden/>
              </w:rPr>
              <w:tab/>
            </w:r>
            <w:r w:rsidR="00992DA3">
              <w:rPr>
                <w:noProof/>
                <w:webHidden/>
              </w:rPr>
              <w:fldChar w:fldCharType="begin"/>
            </w:r>
            <w:r w:rsidR="00992DA3">
              <w:rPr>
                <w:noProof/>
                <w:webHidden/>
              </w:rPr>
              <w:instrText xml:space="preserve"> PAGEREF _Toc373492989 \h </w:instrText>
            </w:r>
            <w:r w:rsidR="00992DA3">
              <w:rPr>
                <w:noProof/>
                <w:webHidden/>
              </w:rPr>
            </w:r>
            <w:r w:rsidR="00992DA3">
              <w:rPr>
                <w:noProof/>
                <w:webHidden/>
              </w:rPr>
              <w:fldChar w:fldCharType="separate"/>
            </w:r>
            <w:r w:rsidR="00992DA3">
              <w:rPr>
                <w:noProof/>
                <w:webHidden/>
              </w:rPr>
              <w:t>4</w:t>
            </w:r>
            <w:r w:rsidR="00992DA3">
              <w:rPr>
                <w:noProof/>
                <w:webHidden/>
              </w:rPr>
              <w:fldChar w:fldCharType="end"/>
            </w:r>
          </w:hyperlink>
        </w:p>
        <w:p w:rsidR="00992DA3" w:rsidRDefault="00A56C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2990" w:history="1">
            <w:r w:rsidR="00992DA3" w:rsidRPr="00AE3E8A">
              <w:rPr>
                <w:rStyle w:val="Hyperlink"/>
                <w:rFonts w:eastAsia="Calibri"/>
                <w:noProof/>
                <w:lang w:val="sr-Cyrl-CS"/>
              </w:rPr>
              <w:t>P</w:t>
            </w:r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oložaj mladih u</w:t>
            </w:r>
            <w:r w:rsidR="00992DA3" w:rsidRPr="00AE3E8A">
              <w:rPr>
                <w:rStyle w:val="Hyperlink"/>
                <w:rFonts w:eastAsia="Calibri"/>
                <w:noProof/>
                <w:lang w:val="sr-Cyrl-CS"/>
              </w:rPr>
              <w:t xml:space="preserve"> </w:t>
            </w:r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sistemu socijalne zaštite</w:t>
            </w:r>
            <w:r w:rsidR="00992DA3">
              <w:rPr>
                <w:noProof/>
                <w:webHidden/>
              </w:rPr>
              <w:tab/>
            </w:r>
            <w:r w:rsidR="00992DA3">
              <w:rPr>
                <w:noProof/>
                <w:webHidden/>
              </w:rPr>
              <w:fldChar w:fldCharType="begin"/>
            </w:r>
            <w:r w:rsidR="00992DA3">
              <w:rPr>
                <w:noProof/>
                <w:webHidden/>
              </w:rPr>
              <w:instrText xml:space="preserve"> PAGEREF _Toc373492990 \h </w:instrText>
            </w:r>
            <w:r w:rsidR="00992DA3">
              <w:rPr>
                <w:noProof/>
                <w:webHidden/>
              </w:rPr>
            </w:r>
            <w:r w:rsidR="00992DA3">
              <w:rPr>
                <w:noProof/>
                <w:webHidden/>
              </w:rPr>
              <w:fldChar w:fldCharType="separate"/>
            </w:r>
            <w:r w:rsidR="00992DA3">
              <w:rPr>
                <w:noProof/>
                <w:webHidden/>
              </w:rPr>
              <w:t>6</w:t>
            </w:r>
            <w:r w:rsidR="00992DA3">
              <w:rPr>
                <w:noProof/>
                <w:webHidden/>
              </w:rPr>
              <w:fldChar w:fldCharType="end"/>
            </w:r>
          </w:hyperlink>
        </w:p>
        <w:p w:rsidR="00992DA3" w:rsidRDefault="00A56C5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3492991" w:history="1"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1. Međunarodni pravni okvir</w:t>
            </w:r>
            <w:r w:rsidR="00992DA3">
              <w:rPr>
                <w:noProof/>
                <w:webHidden/>
              </w:rPr>
              <w:tab/>
            </w:r>
            <w:r w:rsidR="00992DA3">
              <w:rPr>
                <w:noProof/>
                <w:webHidden/>
              </w:rPr>
              <w:fldChar w:fldCharType="begin"/>
            </w:r>
            <w:r w:rsidR="00992DA3">
              <w:rPr>
                <w:noProof/>
                <w:webHidden/>
              </w:rPr>
              <w:instrText xml:space="preserve"> PAGEREF _Toc373492991 \h </w:instrText>
            </w:r>
            <w:r w:rsidR="00992DA3">
              <w:rPr>
                <w:noProof/>
                <w:webHidden/>
              </w:rPr>
            </w:r>
            <w:r w:rsidR="00992DA3">
              <w:rPr>
                <w:noProof/>
                <w:webHidden/>
              </w:rPr>
              <w:fldChar w:fldCharType="separate"/>
            </w:r>
            <w:r w:rsidR="00992DA3">
              <w:rPr>
                <w:noProof/>
                <w:webHidden/>
              </w:rPr>
              <w:t>7</w:t>
            </w:r>
            <w:r w:rsidR="00992DA3">
              <w:rPr>
                <w:noProof/>
                <w:webHidden/>
              </w:rPr>
              <w:fldChar w:fldCharType="end"/>
            </w:r>
          </w:hyperlink>
        </w:p>
        <w:p w:rsidR="00992DA3" w:rsidRDefault="00A56C5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3492992" w:history="1">
            <w:r w:rsidR="00992DA3">
              <w:rPr>
                <w:rStyle w:val="Hyperlink"/>
                <w:noProof/>
              </w:rPr>
              <w:t xml:space="preserve">2. </w:t>
            </w:r>
            <w:r w:rsidR="00992DA3" w:rsidRPr="00AE3E8A">
              <w:rPr>
                <w:rStyle w:val="Hyperlink"/>
                <w:noProof/>
              </w:rPr>
              <w:t>Domaći zakonski okvir</w:t>
            </w:r>
            <w:r w:rsidR="00992DA3">
              <w:rPr>
                <w:noProof/>
                <w:webHidden/>
              </w:rPr>
              <w:tab/>
            </w:r>
            <w:r w:rsidR="00992DA3">
              <w:rPr>
                <w:noProof/>
                <w:webHidden/>
              </w:rPr>
              <w:fldChar w:fldCharType="begin"/>
            </w:r>
            <w:r w:rsidR="00992DA3">
              <w:rPr>
                <w:noProof/>
                <w:webHidden/>
              </w:rPr>
              <w:instrText xml:space="preserve"> PAGEREF _Toc373492992 \h </w:instrText>
            </w:r>
            <w:r w:rsidR="00992DA3">
              <w:rPr>
                <w:noProof/>
                <w:webHidden/>
              </w:rPr>
            </w:r>
            <w:r w:rsidR="00992DA3">
              <w:rPr>
                <w:noProof/>
                <w:webHidden/>
              </w:rPr>
              <w:fldChar w:fldCharType="separate"/>
            </w:r>
            <w:r w:rsidR="00992DA3">
              <w:rPr>
                <w:noProof/>
                <w:webHidden/>
              </w:rPr>
              <w:t>8</w:t>
            </w:r>
            <w:r w:rsidR="00992DA3">
              <w:rPr>
                <w:noProof/>
                <w:webHidden/>
              </w:rPr>
              <w:fldChar w:fldCharType="end"/>
            </w:r>
          </w:hyperlink>
        </w:p>
        <w:p w:rsidR="00992DA3" w:rsidRDefault="00A56C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2993" w:history="1"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Zaštita dece od siromaštva</w:t>
            </w:r>
            <w:r w:rsidR="00992DA3">
              <w:rPr>
                <w:noProof/>
                <w:webHidden/>
              </w:rPr>
              <w:tab/>
            </w:r>
            <w:r w:rsidR="00992DA3">
              <w:rPr>
                <w:noProof/>
                <w:webHidden/>
              </w:rPr>
              <w:fldChar w:fldCharType="begin"/>
            </w:r>
            <w:r w:rsidR="00992DA3">
              <w:rPr>
                <w:noProof/>
                <w:webHidden/>
              </w:rPr>
              <w:instrText xml:space="preserve"> PAGEREF _Toc373492993 \h </w:instrText>
            </w:r>
            <w:r w:rsidR="00992DA3">
              <w:rPr>
                <w:noProof/>
                <w:webHidden/>
              </w:rPr>
            </w:r>
            <w:r w:rsidR="00992DA3">
              <w:rPr>
                <w:noProof/>
                <w:webHidden/>
              </w:rPr>
              <w:fldChar w:fldCharType="separate"/>
            </w:r>
            <w:r w:rsidR="00992DA3">
              <w:rPr>
                <w:noProof/>
                <w:webHidden/>
              </w:rPr>
              <w:t>10</w:t>
            </w:r>
            <w:r w:rsidR="00992DA3">
              <w:rPr>
                <w:noProof/>
                <w:webHidden/>
              </w:rPr>
              <w:fldChar w:fldCharType="end"/>
            </w:r>
          </w:hyperlink>
        </w:p>
        <w:p w:rsidR="00992DA3" w:rsidRDefault="00A56C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2994" w:history="1">
            <w:r w:rsidR="00992DA3" w:rsidRPr="00AE3E8A">
              <w:rPr>
                <w:rStyle w:val="Hyperlink"/>
                <w:rFonts w:eastAsia="Calibri"/>
                <w:noProof/>
                <w:lang w:val="sr-Cyrl-CS"/>
              </w:rPr>
              <w:t>Z</w:t>
            </w:r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aključ</w:t>
            </w:r>
            <w:r w:rsidR="00992DA3" w:rsidRPr="00AE3E8A">
              <w:rPr>
                <w:rStyle w:val="Hyperlink"/>
                <w:rFonts w:eastAsia="Calibri"/>
                <w:noProof/>
                <w:lang w:val="sr-Cyrl-CS"/>
              </w:rPr>
              <w:t>a</w:t>
            </w:r>
            <w:r w:rsidR="00992DA3" w:rsidRPr="00AE3E8A">
              <w:rPr>
                <w:rStyle w:val="Hyperlink"/>
                <w:rFonts w:eastAsia="Calibri"/>
                <w:noProof/>
                <w:lang w:val="sr-Latn-RS"/>
              </w:rPr>
              <w:t>k</w:t>
            </w:r>
            <w:r w:rsidR="00992DA3">
              <w:rPr>
                <w:noProof/>
                <w:webHidden/>
              </w:rPr>
              <w:tab/>
            </w:r>
            <w:r w:rsidR="00992DA3">
              <w:rPr>
                <w:noProof/>
                <w:webHidden/>
              </w:rPr>
              <w:fldChar w:fldCharType="begin"/>
            </w:r>
            <w:r w:rsidR="00992DA3">
              <w:rPr>
                <w:noProof/>
                <w:webHidden/>
              </w:rPr>
              <w:instrText xml:space="preserve"> PAGEREF _Toc373492994 \h </w:instrText>
            </w:r>
            <w:r w:rsidR="00992DA3">
              <w:rPr>
                <w:noProof/>
                <w:webHidden/>
              </w:rPr>
            </w:r>
            <w:r w:rsidR="00992DA3">
              <w:rPr>
                <w:noProof/>
                <w:webHidden/>
              </w:rPr>
              <w:fldChar w:fldCharType="separate"/>
            </w:r>
            <w:r w:rsidR="00992DA3">
              <w:rPr>
                <w:noProof/>
                <w:webHidden/>
              </w:rPr>
              <w:t>13</w:t>
            </w:r>
            <w:r w:rsidR="00992DA3">
              <w:rPr>
                <w:noProof/>
                <w:webHidden/>
              </w:rPr>
              <w:fldChar w:fldCharType="end"/>
            </w:r>
          </w:hyperlink>
        </w:p>
        <w:p w:rsidR="005666DA" w:rsidRDefault="00992DA3">
          <w:pPr>
            <w:rPr>
              <w:rFonts w:ascii="Arial" w:hAnsi="Arial" w:cs="Arial"/>
              <w:b/>
              <w:bCs/>
              <w:sz w:val="20"/>
              <w:szCs w:val="20"/>
              <w:lang w:val="sr-Latn-R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sr-Latn-RS"/>
            </w:rPr>
            <w:fldChar w:fldCharType="end"/>
          </w:r>
          <w:r w:rsidR="005666DA">
            <w:rPr>
              <w:rFonts w:ascii="Arial" w:hAnsi="Arial" w:cs="Arial"/>
              <w:b/>
              <w:bCs/>
              <w:sz w:val="20"/>
              <w:szCs w:val="20"/>
              <w:lang w:val="sr-Latn-RS"/>
            </w:rPr>
            <w:br w:type="page"/>
          </w:r>
        </w:p>
      </w:sdtContent>
    </w:sdt>
    <w:p w:rsidR="009F6E19" w:rsidRPr="009F6E19" w:rsidRDefault="009F6E19" w:rsidP="005666DA">
      <w:pPr>
        <w:pStyle w:val="Heading1"/>
        <w:rPr>
          <w:rFonts w:eastAsia="Calibri"/>
          <w:lang w:val="sr-Cyrl-CS"/>
        </w:rPr>
      </w:pPr>
      <w:r w:rsidRPr="009F6E19">
        <w:rPr>
          <w:rFonts w:eastAsia="Calibri"/>
          <w:lang w:val="sr-Latn-RS"/>
        </w:rPr>
        <w:lastRenderedPageBreak/>
        <w:t xml:space="preserve"> </w:t>
      </w:r>
      <w:bookmarkStart w:id="1" w:name="_Toc373492988"/>
      <w:r>
        <w:rPr>
          <w:rFonts w:eastAsia="Calibri"/>
          <w:lang w:val="sr-Latn-RS"/>
        </w:rPr>
        <w:t>U</w:t>
      </w:r>
      <w:r>
        <w:rPr>
          <w:rFonts w:eastAsia="Calibri"/>
          <w:lang w:val="sr-Cyrl-CS"/>
        </w:rPr>
        <w:t>vod</w:t>
      </w:r>
      <w:r w:rsidRPr="009F6E19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nazaposlenost</w:t>
      </w:r>
      <w:r w:rsidRPr="009F6E1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Pr="009F6E1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ekonomska</w:t>
      </w:r>
      <w:r w:rsidRPr="009F6E1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kriza</w:t>
      </w:r>
      <w:r w:rsidRPr="009F6E19">
        <w:rPr>
          <w:rFonts w:eastAsia="Calibri"/>
          <w:lang w:val="sr-Cyrl-CS"/>
        </w:rPr>
        <w:t>)</w:t>
      </w:r>
      <w:bookmarkEnd w:id="1"/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sr-Cyrl-C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Početkom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2005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počeo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opada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Evropi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traj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prvog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kvartala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2008.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ezaposlenost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članica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-27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niska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oko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16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miliona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ljudi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ekvivalentno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6,8%)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raste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naglo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ekonomske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krize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Između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drugog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kvartala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2008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nivo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poras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9,7%,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vreme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ajviša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zabeležena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vrednost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početka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2000.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drugog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kvartala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kraja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stalno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značajno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10,7%.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Latn-RS"/>
        </w:rPr>
        <w:footnoteReference w:id="1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zoni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- 17)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imala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trend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rasta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-27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izuzetkom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perioda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2010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privremeno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-17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11,8%,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najv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iša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1995.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Detaljnija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analiza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evropskim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prikazana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nastavku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istraživanja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Pad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početka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krize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dramatičan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(15-64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smanjio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7%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oktobra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2008.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oktobra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2009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imajući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2009.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</w:t>
      </w:r>
      <w:r>
        <w:rPr>
          <w:rFonts w:ascii="Arial" w:hAnsi="Arial" w:cs="Arial"/>
          <w:sz w:val="20"/>
          <w:szCs w:val="20"/>
          <w:lang w:val="sr-Cyrl-CS"/>
        </w:rPr>
        <w:t>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angažovan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(50%).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godini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opala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2,8 </w:t>
      </w:r>
      <w:r>
        <w:rPr>
          <w:rFonts w:ascii="Arial" w:hAnsi="Arial" w:cs="Arial"/>
          <w:sz w:val="20"/>
          <w:szCs w:val="20"/>
          <w:lang w:val="sr-Latn-RS"/>
        </w:rPr>
        <w:t>procen</w:t>
      </w:r>
      <w:r>
        <w:rPr>
          <w:rFonts w:ascii="Arial" w:hAnsi="Arial" w:cs="Arial"/>
          <w:sz w:val="20"/>
          <w:szCs w:val="20"/>
          <w:lang w:val="sr-Cyrl-CS"/>
        </w:rPr>
        <w:t>ata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najveći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početka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krize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Navedena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niža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proseka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(64,6%),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susednih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Hrvatska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Bugarska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Rumunija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Srbija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daleko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70%, </w:t>
      </w:r>
      <w:r>
        <w:rPr>
          <w:rFonts w:ascii="Arial" w:hAnsi="Arial" w:cs="Arial"/>
          <w:sz w:val="20"/>
          <w:szCs w:val="20"/>
          <w:lang w:val="sr-Latn-RS"/>
        </w:rPr>
        <w:t>cilj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postavila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Lisabonska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Treba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naglasiti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različiti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30,4%,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Ankete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RS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oktobar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2012.)</w:t>
      </w:r>
      <w:r w:rsidRPr="009F6E19">
        <w:rPr>
          <w:rFonts w:ascii="Times New Roman" w:hAnsi="Times New Roman" w:cs="Times New Roman"/>
          <w:bCs/>
          <w:color w:val="000000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Times New Roman" w:hAnsi="Times New Roman" w:cs="Times New Roman"/>
          <w:bCs/>
          <w:color w:val="000000"/>
          <w:sz w:val="23"/>
          <w:szCs w:val="23"/>
          <w:lang w:val="sr-Cyrl-CS"/>
        </w:rPr>
        <w:t>22,4%.</w:t>
      </w:r>
      <w:r w:rsidRPr="009F6E19">
        <w:rPr>
          <w:rFonts w:ascii="Times New Roman" w:hAnsi="Times New Roman" w:cs="Times New Roman"/>
          <w:bCs/>
          <w:color w:val="000000"/>
          <w:sz w:val="23"/>
          <w:szCs w:val="23"/>
          <w:vertAlign w:val="superscript"/>
          <w:lang w:val="sr-Cyrl-CS"/>
        </w:rPr>
        <w:footnoteReference w:id="2"/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Takođe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oktobar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2012 – </w:t>
      </w:r>
      <w:r>
        <w:rPr>
          <w:rFonts w:ascii="Arial" w:hAnsi="Arial" w:cs="Arial"/>
          <w:sz w:val="20"/>
          <w:szCs w:val="20"/>
          <w:lang w:val="sr-Cyrl-CS"/>
        </w:rPr>
        <w:t>april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došlo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36,7%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36,3%.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poređenju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najveća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nastavku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). 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Nezaposlenost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dugoročni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karakter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jer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statusu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Međunarodno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iskustvo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pokazuje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verovatnoća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nalaženja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smanjuje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proporcionalno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dovesti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isključivanja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tržišta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rizika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siromaštva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Najnoviji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podaci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OECD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000000"/>
          <w:sz w:val="20"/>
          <w:szCs w:val="20"/>
          <w:vertAlign w:val="superscript"/>
          <w:lang w:val="sr-Cyrl-CS"/>
        </w:rPr>
        <w:footnoteReference w:id="3"/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pokazuju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jedan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troje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nezaposlenih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OECD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bio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bez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posla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duže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meseci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zaključno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drugim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kvartalom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učešćem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35,3%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lastRenderedPageBreak/>
        <w:t>ukupnom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broju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nezaposlenih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to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najviši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nivo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dugoročno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nezaposlenih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kada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kriza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počela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(4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kvartal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2007.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kada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dugoročna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nezaposlenost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color w:val="000000"/>
          <w:sz w:val="20"/>
          <w:szCs w:val="20"/>
          <w:lang w:val="sr-Cyrl-CS"/>
        </w:rPr>
        <w:t xml:space="preserve"> 27,0%.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9F6E19" w:rsidRPr="009F6E19" w:rsidRDefault="009F6E19" w:rsidP="005666DA">
      <w:pPr>
        <w:pStyle w:val="Heading1"/>
        <w:rPr>
          <w:rFonts w:eastAsia="Calibri"/>
          <w:u w:val="single"/>
          <w:lang w:val="sr-Cyrl-CS"/>
        </w:rPr>
      </w:pPr>
      <w:bookmarkStart w:id="2" w:name="_Toc373492989"/>
      <w:r>
        <w:rPr>
          <w:rFonts w:eastAsia="Calibri"/>
          <w:lang w:val="sr-Cyrl-CS"/>
        </w:rPr>
        <w:t>S</w:t>
      </w:r>
      <w:r>
        <w:rPr>
          <w:rFonts w:eastAsia="Calibri"/>
          <w:lang w:val="sr-Latn-RS"/>
        </w:rPr>
        <w:t>truktura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nezaposlen</w:t>
      </w:r>
      <w:r>
        <w:rPr>
          <w:rFonts w:eastAsia="Calibri"/>
          <w:lang w:val="sr-Cyrl-CS"/>
        </w:rPr>
        <w:t>osti</w:t>
      </w:r>
      <w:bookmarkEnd w:id="2"/>
      <w:r w:rsidRPr="009F6E19">
        <w:rPr>
          <w:rFonts w:eastAsia="Calibri"/>
          <w:lang w:val="sr-Cyrl-CS"/>
        </w:rPr>
        <w:t xml:space="preserve"> </w:t>
      </w:r>
    </w:p>
    <w:p w:rsidR="009F6E19" w:rsidRPr="009F6E19" w:rsidRDefault="009F6E19" w:rsidP="009F6E19">
      <w:pPr>
        <w:spacing w:after="0" w:line="360" w:lineRule="auto"/>
        <w:ind w:left="1080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val="sr-Cyrl-CS"/>
        </w:rPr>
      </w:pP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Latn-R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istraživanju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Fondacije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ekonomske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nauke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RS"/>
        </w:rPr>
        <w:t>FREN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>)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objavljeno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2013.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Latn-RS"/>
        </w:rPr>
        <w:footnoteReference w:id="4"/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analizirano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kretanje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2005-2010.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zatim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kretanje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bCs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polu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starosti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ljudi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navedenom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istraživanju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razmatrana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(15 – 64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RS"/>
        </w:rPr>
        <w:t>po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polu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starosti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petogodišnjem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periodu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zaključeno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sledeće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s</w:t>
      </w:r>
      <w:r>
        <w:rPr>
          <w:rFonts w:ascii="Arial" w:hAnsi="Arial" w:cs="Arial"/>
          <w:sz w:val="20"/>
          <w:szCs w:val="20"/>
          <w:lang w:val="sr-Latn-RS"/>
        </w:rPr>
        <w:t>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aprilu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40,2%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značajno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niža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muškaraca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(54,3%) </w:t>
      </w:r>
      <w:r>
        <w:rPr>
          <w:rFonts w:ascii="Arial" w:hAnsi="Arial" w:cs="Arial"/>
          <w:sz w:val="20"/>
          <w:szCs w:val="20"/>
          <w:lang w:val="sr-Cyrl-CS"/>
        </w:rPr>
        <w:t>iako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2005-2010.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niža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poređenju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(58,6%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2009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susednih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Hrvatska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Bugarska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Rumunija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aprilu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veća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1,7 </w:t>
      </w:r>
      <w:r>
        <w:rPr>
          <w:rFonts w:ascii="Arial" w:hAnsi="Arial" w:cs="Arial"/>
          <w:sz w:val="20"/>
          <w:szCs w:val="20"/>
          <w:lang w:val="sr-Cyrl-CS"/>
        </w:rPr>
        <w:t>procentna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poena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oktobar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24,1%,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22,3%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26,5%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žensko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stanovništvo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5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Pored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stop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mladih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15-24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kretala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18,7%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2005.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15%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godini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Naime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6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mlade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populacije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15-24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(51,2%)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25-34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(29,8%).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Ovako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objašnjava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dužinom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školovanj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budući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obično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školovanja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7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poređenju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odraslima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položaj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pogoršao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budući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posmatranom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periodu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18"/>
          <w:szCs w:val="20"/>
          <w:lang w:val="sr-Latn-RS"/>
        </w:rPr>
        <w:t>Kvalifikaciona</w:t>
      </w:r>
      <w:r w:rsidRPr="009F6E19">
        <w:rPr>
          <w:rFonts w:ascii="Arial" w:hAnsi="Arial" w:cs="Arial"/>
          <w:sz w:val="18"/>
          <w:szCs w:val="20"/>
          <w:lang w:val="sr-Latn-RS"/>
        </w:rPr>
        <w:t xml:space="preserve"> </w:t>
      </w:r>
      <w:r>
        <w:rPr>
          <w:rFonts w:ascii="Arial" w:hAnsi="Arial" w:cs="Arial"/>
          <w:sz w:val="18"/>
          <w:szCs w:val="20"/>
          <w:lang w:val="sr-Latn-RS"/>
        </w:rPr>
        <w:t>struktura</w:t>
      </w:r>
      <w:r w:rsidRPr="009F6E19">
        <w:rPr>
          <w:rFonts w:ascii="Arial" w:hAnsi="Arial" w:cs="Arial"/>
          <w:sz w:val="18"/>
          <w:szCs w:val="20"/>
          <w:lang w:val="sr-Latn-RS"/>
        </w:rPr>
        <w:t xml:space="preserve"> </w:t>
      </w:r>
      <w:r>
        <w:rPr>
          <w:rFonts w:ascii="Arial" w:hAnsi="Arial" w:cs="Arial"/>
          <w:sz w:val="18"/>
          <w:szCs w:val="20"/>
          <w:lang w:val="sr-Latn-RS"/>
        </w:rPr>
        <w:t>nezaposlenih</w:t>
      </w:r>
      <w:r w:rsidRPr="009F6E19">
        <w:rPr>
          <w:rFonts w:ascii="Arial" w:hAnsi="Arial" w:cs="Arial"/>
          <w:sz w:val="18"/>
          <w:szCs w:val="20"/>
          <w:lang w:val="sr-Latn-RS"/>
        </w:rPr>
        <w:t xml:space="preserve"> </w:t>
      </w:r>
      <w:r>
        <w:rPr>
          <w:rFonts w:ascii="Arial" w:hAnsi="Arial" w:cs="Arial"/>
          <w:sz w:val="18"/>
          <w:szCs w:val="20"/>
          <w:lang w:val="sr-Latn-RS"/>
        </w:rPr>
        <w:t>lica</w:t>
      </w:r>
      <w:r w:rsidRPr="009F6E19">
        <w:rPr>
          <w:rFonts w:ascii="Arial" w:hAnsi="Arial" w:cs="Arial"/>
          <w:sz w:val="18"/>
          <w:szCs w:val="20"/>
          <w:lang w:val="sr-Cyrl-CS"/>
        </w:rPr>
        <w:t xml:space="preserve"> </w:t>
      </w:r>
      <w:r>
        <w:rPr>
          <w:rFonts w:ascii="Arial" w:hAnsi="Arial" w:cs="Arial"/>
          <w:sz w:val="18"/>
          <w:szCs w:val="20"/>
          <w:lang w:val="sr-Cyrl-CS"/>
        </w:rPr>
        <w:t>u</w:t>
      </w:r>
      <w:r w:rsidRPr="009F6E19">
        <w:rPr>
          <w:rFonts w:ascii="Arial" w:hAnsi="Arial" w:cs="Arial"/>
          <w:sz w:val="18"/>
          <w:szCs w:val="20"/>
          <w:lang w:val="sr-Cyrl-CS"/>
        </w:rPr>
        <w:t xml:space="preserve"> </w:t>
      </w:r>
      <w:r>
        <w:rPr>
          <w:rFonts w:ascii="Arial" w:hAnsi="Arial" w:cs="Arial"/>
          <w:sz w:val="18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pokazuje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ukupnoj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nezaposlena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visokim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srednjim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učestvuju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80,5%,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škole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nižeg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19,5%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prema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podacima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ARS</w:t>
      </w:r>
      <w:r w:rsidRPr="009F6E19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aprila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9F6E19">
        <w:rPr>
          <w:rFonts w:ascii="Arial" w:hAnsi="Arial" w:cs="Arial"/>
          <w:sz w:val="20"/>
          <w:szCs w:val="20"/>
          <w:lang w:val="sr-Cyrl-CS"/>
        </w:rPr>
        <w:t>)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obrazovnom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ARS</w:t>
      </w:r>
      <w:r w:rsidRPr="009F6E19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april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3.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najviša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osoba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srednjim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obrazovanja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25,1% </w:t>
      </w:r>
      <w:r>
        <w:rPr>
          <w:rFonts w:ascii="Arial" w:hAnsi="Arial" w:cs="Arial"/>
          <w:sz w:val="20"/>
          <w:szCs w:val="20"/>
          <w:lang w:val="sr-Cyrl-CS"/>
        </w:rPr>
        <w:t>prošle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Interesantna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sektorska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struktura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kako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sledi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RS"/>
        </w:rPr>
        <w:t>Zaposleni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poljoprivrednoj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delatnosti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učestv</w:t>
      </w:r>
      <w:r>
        <w:rPr>
          <w:rFonts w:ascii="Arial" w:hAnsi="Arial" w:cs="Arial"/>
          <w:sz w:val="20"/>
          <w:szCs w:val="20"/>
          <w:lang w:val="sr-Cyrl-CS"/>
        </w:rPr>
        <w:t>ovali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24,4%, </w:t>
      </w:r>
      <w:r>
        <w:rPr>
          <w:rFonts w:ascii="Arial" w:hAnsi="Arial" w:cs="Arial"/>
          <w:sz w:val="20"/>
          <w:szCs w:val="20"/>
          <w:lang w:val="sr-Latn-RS"/>
        </w:rPr>
        <w:t>industriji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24,2</w:t>
      </w:r>
      <w:r w:rsidRPr="009F6E19">
        <w:rPr>
          <w:rFonts w:ascii="Arial" w:hAnsi="Arial" w:cs="Arial"/>
          <w:sz w:val="20"/>
          <w:szCs w:val="20"/>
          <w:lang w:val="sr-Cyrl-CS"/>
        </w:rPr>
        <w:t>%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uslužne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delatnosti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zastupljene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51,4%.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2020.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planira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učešće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industriji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26,4%, </w:t>
      </w:r>
      <w:r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Latn-RS"/>
        </w:rPr>
        <w:t>služne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delatnosti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52%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poljoprivrede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21,6%.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8"/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Istraživanje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FREN</w:t>
      </w:r>
      <w:r w:rsidRPr="009F6E19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krize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ranjive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9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potvrdilo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udar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krize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pogoršao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ranjivih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osoba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kvalifikacija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ruralnog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izbeglica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raseljenih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Ipak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analiti</w:t>
      </w:r>
      <w:r>
        <w:rPr>
          <w:rFonts w:ascii="Arial" w:hAnsi="Arial" w:cs="Arial"/>
          <w:sz w:val="20"/>
          <w:szCs w:val="20"/>
          <w:lang w:val="sr-Cyrl-CS"/>
        </w:rPr>
        <w:t>č</w:t>
      </w:r>
      <w:r>
        <w:rPr>
          <w:rFonts w:ascii="Arial" w:hAnsi="Arial" w:cs="Arial"/>
          <w:sz w:val="20"/>
          <w:szCs w:val="20"/>
          <w:lang w:val="sr-Latn-RS"/>
        </w:rPr>
        <w:t>ara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ukupna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2013.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blago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smanjivati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zatim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ubrzano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kraja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projektovanog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tako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2020.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340.000.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10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kretanja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prikazan</w:t>
      </w:r>
      <w:r>
        <w:rPr>
          <w:rFonts w:ascii="Arial" w:hAnsi="Arial" w:cs="Arial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tabeli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sledi</w:t>
      </w:r>
      <w:r w:rsidRPr="009F6E19">
        <w:rPr>
          <w:rFonts w:ascii="Arial" w:hAnsi="Arial" w:cs="Arial"/>
          <w:sz w:val="20"/>
          <w:szCs w:val="20"/>
          <w:lang w:val="sr-Latn-RS"/>
        </w:rPr>
        <w:t>:</w:t>
      </w:r>
    </w:p>
    <w:p w:rsidR="009F6E19" w:rsidRPr="009F6E19" w:rsidRDefault="009F6E19" w:rsidP="009F6E19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Tabela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>1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>: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Projekcija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odraslog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(15+) </w:t>
      </w:r>
    </w:p>
    <w:p w:rsidR="009F6E19" w:rsidRPr="009F6E19" w:rsidRDefault="009F6E19" w:rsidP="009F6E19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period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2013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>-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>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877"/>
        <w:gridCol w:w="877"/>
        <w:gridCol w:w="878"/>
        <w:gridCol w:w="878"/>
        <w:gridCol w:w="878"/>
        <w:gridCol w:w="878"/>
        <w:gridCol w:w="878"/>
        <w:gridCol w:w="878"/>
      </w:tblGrid>
      <w:tr w:rsidR="009F6E19" w:rsidRPr="009F6E19" w:rsidTr="00783DF6">
        <w:tc>
          <w:tcPr>
            <w:tcW w:w="1812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godina</w:t>
            </w:r>
          </w:p>
        </w:tc>
        <w:tc>
          <w:tcPr>
            <w:tcW w:w="877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2013</w:t>
            </w:r>
          </w:p>
        </w:tc>
        <w:tc>
          <w:tcPr>
            <w:tcW w:w="877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2014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2015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2016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2017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2018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2019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2020</w:t>
            </w:r>
          </w:p>
        </w:tc>
      </w:tr>
      <w:tr w:rsidR="009F6E19" w:rsidRPr="009F6E19" w:rsidTr="00783DF6">
        <w:tc>
          <w:tcPr>
            <w:tcW w:w="1812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Stopa</w:t>
            </w: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nezaposlenosti</w:t>
            </w:r>
          </w:p>
          <w:p w:rsidR="009F6E19" w:rsidRPr="009F6E19" w:rsidRDefault="009F6E19" w:rsidP="009F6E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9F6E1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(</w:t>
            </w:r>
            <w:r w:rsidRPr="009F6E19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%</w:t>
            </w:r>
            <w:r w:rsidRPr="009F6E1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877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15,74</w:t>
            </w:r>
          </w:p>
        </w:tc>
        <w:tc>
          <w:tcPr>
            <w:tcW w:w="877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14,91 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14,09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13,30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12,53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11,79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11,03</w:t>
            </w:r>
          </w:p>
        </w:tc>
        <w:tc>
          <w:tcPr>
            <w:tcW w:w="87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9F6E1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10,32 </w:t>
            </w:r>
          </w:p>
        </w:tc>
      </w:tr>
    </w:tbl>
    <w:p w:rsidR="009F6E19" w:rsidRPr="009F6E19" w:rsidRDefault="009F6E19" w:rsidP="009F6E1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Izvor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Projekcije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odraslo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stanovništvo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; </w:t>
      </w:r>
      <w:r>
        <w:rPr>
          <w:rFonts w:ascii="Arial" w:hAnsi="Arial" w:cs="Arial"/>
          <w:iCs/>
          <w:sz w:val="20"/>
          <w:szCs w:val="20"/>
          <w:lang w:val="sr-Latn-RS"/>
        </w:rPr>
        <w:t>Prema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RS"/>
        </w:rPr>
        <w:t>Tabela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3.2.1. </w:t>
      </w:r>
      <w:r>
        <w:rPr>
          <w:rFonts w:ascii="Arial" w:hAnsi="Arial" w:cs="Arial"/>
          <w:bCs/>
          <w:sz w:val="20"/>
          <w:szCs w:val="20"/>
          <w:lang w:val="sr-Latn-RS"/>
        </w:rPr>
        <w:t>Osnovni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pokazatelji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tržišta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odraslog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(15+), </w:t>
      </w:r>
      <w:r>
        <w:rPr>
          <w:rFonts w:ascii="Arial" w:hAnsi="Arial" w:cs="Arial"/>
          <w:bCs/>
          <w:sz w:val="20"/>
          <w:szCs w:val="20"/>
          <w:lang w:val="sr-Latn-RS"/>
        </w:rPr>
        <w:t>str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>.44.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tabeli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nastavku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teksta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prikazani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podatak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27,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članica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prošloj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Već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petu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redom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Španija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dalje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zemlja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najvećim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25,0%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z w:val="20"/>
          <w:szCs w:val="20"/>
          <w:lang w:val="sr-Latn-R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Tabela</w:t>
      </w:r>
      <w:r w:rsidRPr="009F6E19">
        <w:rPr>
          <w:rFonts w:ascii="Arial" w:hAnsi="Arial" w:cs="Arial"/>
          <w:color w:val="222222"/>
          <w:lang w:val="sr-Latn-R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2.</w:t>
      </w:r>
      <w:r w:rsidRPr="009F6E19">
        <w:rPr>
          <w:rFonts w:ascii="Arial" w:hAnsi="Arial" w:cs="Arial"/>
          <w:color w:val="222222"/>
          <w:lang w:val="sr-Latn-RS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određenim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(%)</w:t>
      </w:r>
      <w:r w:rsidRPr="009F6E19">
        <w:rPr>
          <w:rFonts w:ascii="Arial" w:hAnsi="Arial" w:cs="Arial"/>
          <w:color w:val="222222"/>
          <w:lang w:val="sr-Cyrl-CS"/>
        </w:rPr>
        <w:t xml:space="preserve"> </w:t>
      </w:r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z w:val="20"/>
          <w:szCs w:val="20"/>
          <w:lang w:val="sr-Cyrl-CS"/>
        </w:rPr>
      </w:pPr>
    </w:p>
    <w:tbl>
      <w:tblPr>
        <w:tblStyle w:val="TableGrid"/>
        <w:tblW w:w="10107" w:type="dxa"/>
        <w:tblLook w:val="04A0" w:firstRow="1" w:lastRow="0" w:firstColumn="1" w:lastColumn="0" w:noHBand="0" w:noVBand="1"/>
      </w:tblPr>
      <w:tblGrid>
        <w:gridCol w:w="1496"/>
        <w:gridCol w:w="1718"/>
        <w:gridCol w:w="1718"/>
        <w:gridCol w:w="1718"/>
        <w:gridCol w:w="1718"/>
        <w:gridCol w:w="1739"/>
      </w:tblGrid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F6E19" w:rsidRPr="009F6E19" w:rsidRDefault="009F6E19" w:rsidP="009F6E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Zemlje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EU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Stopa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nezaposlenosti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muškaraca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Stopa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nezaposlenosti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žena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Stopa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nezaposlenosti</w:t>
            </w:r>
          </w:p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do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25.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god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Stopa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nezaposlenosti</w:t>
            </w:r>
          </w:p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od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25-74.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god</w:t>
            </w:r>
            <w:r w:rsidRPr="009F6E19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Nezaposlenost</w:t>
            </w: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mladih</w:t>
            </w: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omer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EU</w:t>
            </w:r>
            <w:r w:rsidRPr="009F6E19"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 xml:space="preserve"> 27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10.5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22.8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 9.1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9.7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Austrija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4.4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4.3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8.7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3.6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5.2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V</w:t>
            </w:r>
            <w:r w:rsidRPr="009F6E19"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Britanija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6.3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21.0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5.7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12.4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Grčka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21.4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28.1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55.3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22.2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16.1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Italija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9.9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11.9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35.3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8.9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10.1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Mađarska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11.2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10.6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28.1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9.6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7.3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lastRenderedPageBreak/>
              <w:t>Poljska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10.9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26.5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8.5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8.9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Rumunija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7.6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22.7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5.6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7.0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Slovačka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13.5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14.5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34.0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12.2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10.4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Slovenija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</w:rPr>
              <w:t>20.6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</w:rPr>
              <w:t>7.9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7.1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Hrvatska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16.2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15.6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43.0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13.2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Češka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6.0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8.2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19.5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8.0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6.1</w:t>
            </w:r>
          </w:p>
        </w:tc>
      </w:tr>
      <w:tr w:rsidR="009F6E19" w:rsidRPr="009F6E19" w:rsidTr="00783DF6">
        <w:tc>
          <w:tcPr>
            <w:tcW w:w="1496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Španija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24.7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25.4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53.2</w:t>
            </w:r>
          </w:p>
        </w:tc>
        <w:tc>
          <w:tcPr>
            <w:tcW w:w="1718" w:type="dxa"/>
          </w:tcPr>
          <w:p w:rsidR="009F6E19" w:rsidRPr="009F6E19" w:rsidRDefault="009F6E19" w:rsidP="009F6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22.7</w:t>
            </w:r>
          </w:p>
        </w:tc>
        <w:tc>
          <w:tcPr>
            <w:tcW w:w="1739" w:type="dxa"/>
          </w:tcPr>
          <w:p w:rsidR="009F6E19" w:rsidRPr="009F6E19" w:rsidRDefault="009F6E19" w:rsidP="009F6E19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F6E1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20.6</w:t>
            </w:r>
          </w:p>
        </w:tc>
      </w:tr>
    </w:tbl>
    <w:p w:rsidR="009F6E19" w:rsidRPr="009F6E19" w:rsidRDefault="009F6E19" w:rsidP="009F6E19">
      <w:pPr>
        <w:rPr>
          <w:rFonts w:ascii="Arial" w:hAnsi="Arial" w:cs="Arial"/>
          <w:color w:val="0000FF" w:themeColor="hyperlink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Izvor</w:t>
      </w:r>
      <w:r w:rsidRPr="009F6E19">
        <w:rPr>
          <w:rFonts w:ascii="Arial" w:hAnsi="Arial" w:cs="Arial"/>
          <w:sz w:val="20"/>
          <w:szCs w:val="20"/>
          <w:lang w:val="sr-Cyrl-CS"/>
        </w:rPr>
        <w:t>:</w:t>
      </w:r>
      <w:r w:rsidRPr="009F6E19">
        <w:rPr>
          <w:rFonts w:ascii="Arial" w:hAnsi="Arial" w:cs="Arial"/>
          <w:i/>
          <w:sz w:val="20"/>
          <w:szCs w:val="20"/>
        </w:rPr>
        <w:t xml:space="preserve"> Eurostat, online data, 2013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hyperlink r:id="rId10" w:history="1">
        <w:r w:rsidRPr="009F6E19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CS"/>
          </w:rPr>
          <w:t>http://epp.eurostat.ec.europa.eu/statistics_explained/index.php/Unemployment_statistics</w:t>
        </w:r>
      </w:hyperlink>
    </w:p>
    <w:p w:rsidR="009F6E19" w:rsidRPr="009F6E19" w:rsidRDefault="009F6E19" w:rsidP="009F6E19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</w:p>
    <w:p w:rsidR="009F6E19" w:rsidRPr="009F6E19" w:rsidRDefault="009F6E19" w:rsidP="005666DA">
      <w:pPr>
        <w:pStyle w:val="Heading1"/>
        <w:rPr>
          <w:rFonts w:eastAsia="Calibri"/>
          <w:lang w:val="sr-Cyrl-CS"/>
        </w:rPr>
      </w:pPr>
      <w:bookmarkStart w:id="3" w:name="_Toc373492990"/>
      <w:r>
        <w:rPr>
          <w:rFonts w:eastAsia="Calibri"/>
          <w:lang w:val="sr-Cyrl-CS"/>
        </w:rPr>
        <w:t>P</w:t>
      </w:r>
      <w:r>
        <w:rPr>
          <w:rFonts w:eastAsia="Calibri"/>
          <w:lang w:val="sr-Latn-RS"/>
        </w:rPr>
        <w:t>oložaj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mladih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Pr="009F6E19">
        <w:rPr>
          <w:rFonts w:eastAsia="Calibri"/>
          <w:lang w:val="sr-Cyrl-CS"/>
        </w:rPr>
        <w:t xml:space="preserve"> </w:t>
      </w:r>
      <w:r>
        <w:rPr>
          <w:rFonts w:eastAsia="Calibri"/>
          <w:lang w:val="sr-Latn-RS"/>
        </w:rPr>
        <w:t>sistemu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socijalne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zaštite</w:t>
      </w:r>
      <w:bookmarkEnd w:id="3"/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i/>
          <w:sz w:val="20"/>
          <w:szCs w:val="20"/>
          <w:lang w:val="sr-Latn-RS"/>
        </w:rPr>
        <w:t>Problem</w:t>
      </w:r>
      <w:r w:rsidRPr="009F6E19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isključenosti</w:t>
      </w:r>
      <w:r w:rsidRPr="009F6E19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tržišta</w:t>
      </w:r>
      <w:r w:rsidRPr="009F6E19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najčešći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uzrok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teškoća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susreću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</w:t>
      </w:r>
      <w:r>
        <w:rPr>
          <w:rFonts w:ascii="Arial" w:hAnsi="Arial" w:cs="Arial"/>
          <w:sz w:val="20"/>
          <w:szCs w:val="20"/>
          <w:lang w:val="sr-Cyrl-CS"/>
        </w:rPr>
        <w:t>lo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uslovima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krize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Više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 </w:t>
      </w:r>
      <w:r>
        <w:rPr>
          <w:rFonts w:ascii="Arial" w:hAnsi="Arial" w:cs="Arial"/>
          <w:sz w:val="20"/>
          <w:szCs w:val="20"/>
          <w:lang w:val="sr-Latn-RS"/>
        </w:rPr>
        <w:t>miliona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živi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riziku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11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pripada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suočava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rizikom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izraste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odraslu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osobu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živi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društvenoj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margini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prenosi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model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generacij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Svaka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osoba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nalazi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riziku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jer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uzrok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sposobnim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stanje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dramatičnije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zbog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otežanog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pristupa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svrstani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kategoriju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ranjivih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uspevaju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odgovore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otežanom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odnosno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Formalni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danas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jasno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definišu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političke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kulturne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utiču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isključenost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građana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glavnih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tim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isključenost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kroz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nekoliko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dimenzija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12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: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- </w:t>
      </w:r>
      <w:r>
        <w:rPr>
          <w:rFonts w:ascii="Arial" w:hAnsi="Arial" w:cs="Arial"/>
          <w:sz w:val="20"/>
          <w:szCs w:val="20"/>
          <w:lang w:val="sr-Latn-RS"/>
        </w:rPr>
        <w:t>ukupni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domaćinstva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ispod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utvrđene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b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nezadovoljenost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materijalnih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c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isključenost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dugotrajna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isključenost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isključenost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pristupa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analitičarima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saglasnost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ljudi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dostupno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nisu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mogućnosti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kontakte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žive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izolovanim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marginalizovanim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zajednicama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najčešće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postaju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Veliki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brzo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reaguju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rizične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građana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dobijaju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dovoljno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specifičnu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troškove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predugo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pasivni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primaoci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raznih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oblika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9F6E19" w:rsidRPr="009F6E19" w:rsidRDefault="00992DA3" w:rsidP="006E754A">
      <w:pPr>
        <w:pStyle w:val="Heading2"/>
        <w:ind w:firstLine="720"/>
        <w:rPr>
          <w:rFonts w:eastAsia="Calibri"/>
          <w:lang w:val="sr-Latn-RS"/>
        </w:rPr>
      </w:pPr>
      <w:bookmarkStart w:id="4" w:name="_Toc373492991"/>
      <w:r>
        <w:rPr>
          <w:rFonts w:eastAsia="Calibri"/>
          <w:lang w:val="sr-Latn-RS"/>
        </w:rPr>
        <w:t xml:space="preserve">1. </w:t>
      </w:r>
      <w:r w:rsidR="009F6E19">
        <w:rPr>
          <w:rFonts w:eastAsia="Calibri"/>
          <w:lang w:val="sr-Latn-RS"/>
        </w:rPr>
        <w:t>Međunarodni</w:t>
      </w:r>
      <w:r w:rsidR="009F6E19" w:rsidRPr="009F6E19">
        <w:rPr>
          <w:rFonts w:eastAsia="Calibri"/>
          <w:lang w:val="sr-Latn-RS"/>
        </w:rPr>
        <w:t xml:space="preserve"> </w:t>
      </w:r>
      <w:r w:rsidR="009F6E19">
        <w:rPr>
          <w:rFonts w:eastAsia="Calibri"/>
          <w:lang w:val="sr-Latn-RS"/>
        </w:rPr>
        <w:t>pravni</w:t>
      </w:r>
      <w:r w:rsidR="009F6E19" w:rsidRPr="009F6E19">
        <w:rPr>
          <w:rFonts w:eastAsia="Calibri"/>
          <w:lang w:val="sr-Latn-RS"/>
        </w:rPr>
        <w:t xml:space="preserve"> </w:t>
      </w:r>
      <w:r w:rsidR="009F6E19">
        <w:rPr>
          <w:rFonts w:eastAsia="Calibri"/>
          <w:lang w:val="sr-Latn-RS"/>
        </w:rPr>
        <w:t>okvir</w:t>
      </w:r>
      <w:bookmarkEnd w:id="4"/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sr-Latn-R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Postoji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međunarodnih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dokumenata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</w:t>
      </w:r>
      <w:r>
        <w:rPr>
          <w:rFonts w:ascii="Arial" w:hAnsi="Arial" w:cs="Arial"/>
          <w:sz w:val="20"/>
          <w:szCs w:val="20"/>
          <w:lang w:val="sr-Cyrl-CS"/>
        </w:rPr>
        <w:t>a</w:t>
      </w:r>
      <w:r>
        <w:rPr>
          <w:rFonts w:ascii="Arial" w:hAnsi="Arial" w:cs="Arial"/>
          <w:sz w:val="20"/>
          <w:szCs w:val="20"/>
          <w:lang w:val="sr-Latn-RS"/>
        </w:rPr>
        <w:t>vezujući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model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normativno</w:t>
      </w:r>
      <w:r w:rsidRPr="009F6E19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pravni</w:t>
      </w:r>
      <w:r>
        <w:rPr>
          <w:rFonts w:ascii="Arial" w:hAnsi="Arial" w:cs="Arial"/>
          <w:sz w:val="20"/>
          <w:szCs w:val="20"/>
          <w:lang w:val="sr-Cyrl-CS"/>
        </w:rPr>
        <w:t>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nastavku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teksta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navedeni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Milenijumski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ciljevi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razvoja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UN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Latn-RS"/>
        </w:rPr>
        <w:footnoteReference w:id="13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Milenijumska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deklaracija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2000.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usvojili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lideri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189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nacionalnom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neophodno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usvajanje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primen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nacionalne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strategije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prisutan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postigli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Milenijumski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2015.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Evropa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2020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martu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usvojena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pametan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održiv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inkluzivni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2% </w:t>
      </w:r>
      <w:r>
        <w:rPr>
          <w:rFonts w:ascii="Arial" w:hAnsi="Arial" w:cs="Arial"/>
          <w:sz w:val="20"/>
          <w:szCs w:val="20"/>
          <w:lang w:val="sr-Latn-RS"/>
        </w:rPr>
        <w:t>ekonomskog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godišnje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„</w:t>
      </w:r>
      <w:r>
        <w:rPr>
          <w:rFonts w:ascii="Arial" w:hAnsi="Arial" w:cs="Arial"/>
          <w:sz w:val="20"/>
          <w:szCs w:val="20"/>
          <w:lang w:val="sr-Latn-RS"/>
        </w:rPr>
        <w:t>Evropa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2020“ </w:t>
      </w:r>
      <w:r>
        <w:rPr>
          <w:rFonts w:ascii="Arial" w:hAnsi="Arial" w:cs="Arial"/>
          <w:sz w:val="20"/>
          <w:szCs w:val="20"/>
          <w:lang w:val="sr-Latn-RS"/>
        </w:rPr>
        <w:t>sadrži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prioriteta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: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Pametan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zasnovane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inovacijama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b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Održivi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promovisanje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konkurentnija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efikasnije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resurse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c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Inkluzivni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Cyrl-C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odsticanje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visokom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ostvaruje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teritorijalnu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koheziju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Uočena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međusobna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povezanost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povećavanjem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smanjuje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prioritetima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ciljevima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Evropska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komisija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definisala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sedam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ključnih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inicijativa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9F6E19">
        <w:rPr>
          <w:rFonts w:ascii="Arial" w:hAnsi="Arial" w:cs="Arial"/>
          <w:sz w:val="20"/>
          <w:szCs w:val="20"/>
          <w:lang w:val="sr-Latn-RS"/>
        </w:rPr>
        <w:t>:</w:t>
      </w:r>
    </w:p>
    <w:p w:rsidR="009F6E19" w:rsidRPr="009F6E19" w:rsidRDefault="009F6E19" w:rsidP="009F6E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Unija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inovacija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inovacije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proizvode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doprineti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privrednom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razvoju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otvaranju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</w:t>
      </w:r>
      <w:r>
        <w:rPr>
          <w:rFonts w:ascii="Arial" w:hAnsi="Arial" w:cs="Arial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</w:t>
      </w:r>
      <w:r>
        <w:rPr>
          <w:rFonts w:ascii="Arial" w:hAnsi="Arial" w:cs="Arial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mesta</w:t>
      </w:r>
      <w:r w:rsidRPr="009F6E19">
        <w:rPr>
          <w:rFonts w:ascii="Arial" w:hAnsi="Arial" w:cs="Arial"/>
          <w:sz w:val="20"/>
          <w:szCs w:val="20"/>
          <w:lang w:val="sr-Latn-RS"/>
        </w:rPr>
        <w:t>;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b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pokretu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usmeren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unapređenje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kvaliteta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lakši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ulazak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>;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c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Agenda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veštine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modernizacija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veština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potrebana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Evropska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platforma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borbu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protiv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–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ljudima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suočenim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isključenošću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omogući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dostojanstven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život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učestvovanje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Preporuka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nacionalne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regionalne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partnerstvo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uključujući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partnere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civilnog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9F6E19" w:rsidRPr="00674804" w:rsidRDefault="009F6E19" w:rsidP="00992DA3">
      <w:pPr>
        <w:pStyle w:val="Heading2"/>
        <w:rPr>
          <w:rStyle w:val="Heading2Char"/>
          <w:b/>
          <w:bCs/>
          <w:lang w:val="sr-Latn-RS"/>
        </w:rPr>
      </w:pPr>
      <w:r w:rsidRPr="00674804">
        <w:rPr>
          <w:lang w:val="sr-Latn-RS"/>
        </w:rPr>
        <w:t xml:space="preserve">         </w:t>
      </w:r>
      <w:bookmarkStart w:id="5" w:name="_Toc373492992"/>
      <w:r w:rsidRPr="00674804">
        <w:rPr>
          <w:lang w:val="sr-Latn-RS"/>
        </w:rPr>
        <w:t>2</w:t>
      </w:r>
      <w:r w:rsidRPr="00674804">
        <w:rPr>
          <w:rStyle w:val="Heading2Char"/>
          <w:b/>
          <w:bCs/>
          <w:lang w:val="sr-Latn-RS"/>
        </w:rPr>
        <w:t>.    Domaći zakonski okvir</w:t>
      </w:r>
      <w:bookmarkEnd w:id="5"/>
    </w:p>
    <w:p w:rsidR="009F6E19" w:rsidRPr="009F6E19" w:rsidRDefault="009F6E19" w:rsidP="009F6E19">
      <w:pPr>
        <w:rPr>
          <w:lang w:val="sr-Latn-R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Latn-RS"/>
        </w:rPr>
        <w:t>svojena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2003.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Latn-RS"/>
        </w:rPr>
        <w:t>tike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kasnije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kreirane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Oslanjala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evropski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put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jasno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istak</w:t>
      </w:r>
      <w:r>
        <w:rPr>
          <w:rFonts w:ascii="Arial" w:hAnsi="Arial" w:cs="Arial"/>
          <w:sz w:val="20"/>
          <w:szCs w:val="20"/>
          <w:lang w:val="sr-Cyrl-CS"/>
        </w:rPr>
        <w:t>nuta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ranjivost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pokren</w:t>
      </w:r>
      <w:r>
        <w:rPr>
          <w:rFonts w:ascii="Arial" w:hAnsi="Arial" w:cs="Arial"/>
          <w:sz w:val="20"/>
          <w:szCs w:val="20"/>
          <w:lang w:val="sr-Cyrl-CS"/>
        </w:rPr>
        <w:t>uti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mehanizm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obezbeđivanja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praćenje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rezultata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prepoznate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izuzetno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ljudi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koncept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isključenosti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otvorio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fokusu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uzrok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ključna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istaknut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značaj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povezanost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Rešavanje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podignuto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strateškog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efikasnosti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Naglašena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uloga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civilnog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razvoja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Latn-RS"/>
        </w:rPr>
        <w:t>svojena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2005.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ključnih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prepoznati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pasivna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uloga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nedovoljno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mreža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izrazito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centralizovan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birokratizovan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institucija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14"/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istaknut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vezan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roditeljskog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ustanovama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Nacionalna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>
        <w:rPr>
          <w:rFonts w:ascii="Arial" w:hAnsi="Arial" w:cs="Arial"/>
          <w:sz w:val="20"/>
          <w:szCs w:val="20"/>
          <w:lang w:val="sr-Latn-RS"/>
        </w:rPr>
        <w:t>svojena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2008.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zvanični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kome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definišu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populacija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15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definiše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populaciju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18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26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otvorila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vezanih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ugroženi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spadaju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grupu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Istaknut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aktivnosti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namenjen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ljudi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izostanak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materijalnog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obezbeđenja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iznetim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Strategiji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blizu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60% </w:t>
      </w:r>
      <w:r>
        <w:rPr>
          <w:rFonts w:ascii="Arial" w:hAnsi="Arial" w:cs="Arial"/>
          <w:sz w:val="20"/>
          <w:szCs w:val="20"/>
          <w:lang w:val="sr-Latn-RS"/>
        </w:rPr>
        <w:t>korisnika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domova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adolescenti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deseti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nalazi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završnoj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fazi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izlazak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osamostaljivanje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svega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15%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momentu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napuštanja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naredne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povećava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2%.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domovima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razliku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vršnjaka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prirodnih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nisu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dovoljno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osposobljeni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samostalan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život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predugo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Alarmantni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policije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mladih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ulici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organizovane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pomoći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rizikom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postanu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žrtve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trgovine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ljudima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Jedan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usmeren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ostvarivanje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adekvatno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obezbeđivanje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jednakih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mogućnosti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tim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</w:t>
      </w:r>
      <w:r>
        <w:rPr>
          <w:rFonts w:ascii="Arial" w:hAnsi="Arial" w:cs="Arial"/>
          <w:sz w:val="20"/>
          <w:szCs w:val="20"/>
          <w:lang w:val="sr-Cyrl-CS"/>
        </w:rPr>
        <w:t>aju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</w:t>
      </w:r>
      <w:r>
        <w:rPr>
          <w:rFonts w:ascii="Arial" w:hAnsi="Arial" w:cs="Arial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mer</w:t>
      </w:r>
      <w:r>
        <w:rPr>
          <w:rFonts w:ascii="Arial" w:hAnsi="Arial" w:cs="Arial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uključivanje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podržavanje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neformalnog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namenjenih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Drugi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-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pripadnika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važan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segment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navodi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karijernog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vođenja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savetovanje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pripadnika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sredinama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podsticanje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pripadnika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osetljivih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Zakon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mladima</w:t>
      </w:r>
      <w:r w:rsidRPr="009F6E19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iz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2011. </w:t>
      </w:r>
      <w:r>
        <w:rPr>
          <w:rFonts w:ascii="Arial" w:hAnsi="Arial" w:cs="Arial"/>
          <w:bCs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b/>
          <w:bCs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lokalnom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nivou</w:t>
      </w:r>
      <w:r w:rsidRPr="009F6E19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cilju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aktivnog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uključivanja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ostvarivanje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danas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osnovane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142 </w:t>
      </w:r>
      <w:r>
        <w:rPr>
          <w:rFonts w:ascii="Arial" w:hAnsi="Arial" w:cs="Arial"/>
          <w:bCs/>
          <w:sz w:val="20"/>
          <w:szCs w:val="20"/>
          <w:lang w:val="sr-Cyrl-CS"/>
        </w:rPr>
        <w:t>Kancelarije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mlade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Cyrl-CS"/>
        </w:rPr>
        <w:footnoteReference w:id="15"/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Zakon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socijalnoj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zaštiti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Latn-RS"/>
        </w:rPr>
        <w:footnoteReference w:id="16"/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2011.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obezbedi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kontrolu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domenu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novčanih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uspostavi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balans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pasivne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novčane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Kategorija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nesposobnih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proširena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uključivanjem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studenata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fakulteta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škola</w:t>
      </w:r>
      <w:r w:rsidRPr="009F6E19">
        <w:rPr>
          <w:rFonts w:ascii="Arial" w:hAnsi="Arial" w:cs="Arial"/>
          <w:sz w:val="20"/>
          <w:szCs w:val="20"/>
          <w:lang w:val="sr-Latn-RS"/>
        </w:rPr>
        <w:t>,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trudnica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članovima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porodice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nesposobnim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Zadržana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ograničenja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sposobne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novčanu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pomoć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dobijati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devet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meseci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traženju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letnjih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sezonskih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radova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Propisano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lice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sposobno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učestvuje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aktivnostima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vode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njegovom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uključivanju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Član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41.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</w:t>
      </w:r>
      <w:r>
        <w:rPr>
          <w:rFonts w:ascii="Arial" w:hAnsi="Arial" w:cs="Arial"/>
          <w:sz w:val="20"/>
          <w:szCs w:val="20"/>
          <w:lang w:val="sr-Latn-RS"/>
        </w:rPr>
        <w:t>tav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2, </w:t>
      </w:r>
      <w:r>
        <w:rPr>
          <w:rFonts w:ascii="Arial" w:hAnsi="Arial" w:cs="Arial"/>
          <w:sz w:val="20"/>
          <w:szCs w:val="20"/>
          <w:lang w:val="sr-Latn-RS"/>
        </w:rPr>
        <w:t>bliže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opisuje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pomoći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ostalog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navodi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m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aloletno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lice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kada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definiše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odrasle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osobe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onda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granicu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postavlja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navršenih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26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navršenih</w:t>
      </w:r>
      <w:r w:rsidRPr="009F6E19">
        <w:rPr>
          <w:rFonts w:ascii="Arial" w:hAnsi="Arial" w:cs="Arial"/>
          <w:i/>
          <w:iCs/>
          <w:sz w:val="20"/>
          <w:szCs w:val="20"/>
          <w:lang w:val="sr-Latn-RS"/>
        </w:rPr>
        <w:t xml:space="preserve"> 65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Teškoća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formulacijom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vezana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činjenicu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ovakva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podela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saglasnosti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strateškim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dokumentima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računaju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mlađe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populacije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odnosno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15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Autori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studije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17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ukazuj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nedovoljno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uvažava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biološke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promene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specifične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adolescenata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značajno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utiču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zajednici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nedovoljno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uvažava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ostaju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duže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zavisni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zbog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dokumentima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granica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pomerena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Još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oblasti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uvodi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međusektorske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saradnje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povezivanja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RS"/>
        </w:rPr>
        <w:t>član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7.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Saradnja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ostvaruje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način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utvrđen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sporazumima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saradnji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dodatno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obrazložena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članu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58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.) </w:t>
      </w:r>
      <w:r>
        <w:rPr>
          <w:rFonts w:ascii="Arial" w:hAnsi="Arial" w:cs="Arial"/>
          <w:bCs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dužnosti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vezane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sposobnih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novčane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pomoći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Cyrl-CS"/>
        </w:rPr>
        <w:footnoteReference w:id="18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Članom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45. </w:t>
      </w:r>
      <w:r>
        <w:rPr>
          <w:rFonts w:ascii="Arial" w:hAnsi="Arial" w:cs="Arial"/>
          <w:bCs/>
          <w:sz w:val="20"/>
          <w:szCs w:val="20"/>
          <w:lang w:val="sr-Cyrl-CS"/>
        </w:rPr>
        <w:t>Zakona</w:t>
      </w:r>
      <w:r w:rsidRPr="009F6E19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put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samostalni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život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značajan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korak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</w:t>
      </w:r>
      <w:r>
        <w:rPr>
          <w:rFonts w:ascii="Arial" w:hAnsi="Arial" w:cs="Arial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integracij</w:t>
      </w:r>
      <w:r>
        <w:rPr>
          <w:rFonts w:ascii="Arial" w:hAnsi="Arial" w:cs="Arial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korisnika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Jedna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prepreka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primeni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nedovoljan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finansijski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kapacitet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naročito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status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nerazvijenih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značajno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toga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podršku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osobe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invaliditetom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jedinicama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stepen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ispod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republičkog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proseka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finasiraju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Republike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9F6E19" w:rsidRPr="009F6E19" w:rsidRDefault="009F6E19" w:rsidP="00992DA3">
      <w:pPr>
        <w:pStyle w:val="Heading1"/>
        <w:rPr>
          <w:rFonts w:eastAsia="Calibri"/>
          <w:lang w:val="sr-Latn-RS"/>
        </w:rPr>
      </w:pPr>
      <w:bookmarkStart w:id="6" w:name="_Toc373492993"/>
      <w:r>
        <w:rPr>
          <w:rFonts w:eastAsia="Calibri"/>
          <w:lang w:val="sr-Latn-RS"/>
        </w:rPr>
        <w:t>Zaštita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dece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Pr="009F6E19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siromaštva</w:t>
      </w:r>
      <w:bookmarkEnd w:id="6"/>
    </w:p>
    <w:p w:rsidR="009F6E19" w:rsidRPr="009F6E19" w:rsidRDefault="009F6E19" w:rsidP="009F6E1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Calibri" w:hAnsi="Arial" w:cs="Arial"/>
          <w:b/>
          <w:sz w:val="20"/>
          <w:szCs w:val="20"/>
          <w:lang w:val="sr-Latn-RS"/>
        </w:rPr>
      </w:pPr>
    </w:p>
    <w:p w:rsidR="009F6E19" w:rsidRPr="009F6E19" w:rsidRDefault="009F6E19" w:rsidP="009F6E19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Stanovništvo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spada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među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najstarije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zahvaljujući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negativnom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prirodnom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priraštaju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pojačanoj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emigraciji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posebno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mladih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obrazovanih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građana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(2010.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prirodnog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priraštaja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- 4,8%).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brojem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1,44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obezbeđuje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30% </w:t>
      </w:r>
      <w:r>
        <w:rPr>
          <w:rFonts w:ascii="Arial" w:hAnsi="Arial" w:cs="Arial"/>
          <w:sz w:val="20"/>
          <w:szCs w:val="20"/>
          <w:lang w:val="sr-Cyrl-CS"/>
        </w:rPr>
        <w:t>proste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generacija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19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toga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deca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izrazito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ranjiva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grupa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visokim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stepenom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socijalne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isključenosti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čemu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govori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podatak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200.000 </w:t>
      </w:r>
      <w:r>
        <w:rPr>
          <w:rFonts w:ascii="Arial" w:hAnsi="Arial" w:cs="Arial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linije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siromaštva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skoro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400.000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siromašno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Stanje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obrazovanju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loše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jer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čak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78% </w:t>
      </w:r>
      <w:r>
        <w:rPr>
          <w:rFonts w:ascii="Arial" w:hAnsi="Arial" w:cs="Arial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završi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osnovnu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školu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20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Položaj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definisan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CS"/>
        </w:rPr>
        <w:t>pored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ostalog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Nacionalnom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planom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akcije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decu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(2004.)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Cyrl-CS"/>
        </w:rPr>
        <w:t xml:space="preserve"> </w:t>
      </w:r>
      <w:r w:rsidRPr="009F6E19">
        <w:rPr>
          <w:rFonts w:ascii="Arial" w:hAnsi="Arial" w:cs="Arial"/>
          <w:bCs/>
          <w:sz w:val="20"/>
          <w:szCs w:val="20"/>
          <w:vertAlign w:val="superscript"/>
          <w:lang w:val="sr-Cyrl-CS"/>
        </w:rPr>
        <w:footnoteReference w:id="21"/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gde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definisani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prioriteti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jedan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njih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CS"/>
        </w:rPr>
        <w:t>Smanjenje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siromaštva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polazeći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Milenijumskog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cilja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UN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–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iskoreniti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ekstremno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siromaštvo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glad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cilja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deklaraciji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Svet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meri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–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iskoreniti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siromaštvo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ulagati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decu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Pored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Saveta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za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prava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deteta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pri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Vladi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Republike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Srbije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(2002.) </w:t>
      </w:r>
      <w:r>
        <w:rPr>
          <w:rFonts w:ascii="Arial" w:hAnsi="Arial" w:cs="Arial"/>
          <w:sz w:val="20"/>
          <w:szCs w:val="20"/>
          <w:lang w:val="sr-Cyrl-CS"/>
        </w:rPr>
        <w:t>n</w:t>
      </w:r>
      <w:r>
        <w:rPr>
          <w:rFonts w:ascii="Arial" w:hAnsi="Arial" w:cs="Arial"/>
          <w:sz w:val="20"/>
          <w:szCs w:val="20"/>
          <w:lang w:val="ru-RU"/>
        </w:rPr>
        <w:t>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planu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institucionalne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izgradnje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napredak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postignut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konstituisanjem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samostalnog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Narodne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skup</w:t>
      </w:r>
      <w:r>
        <w:rPr>
          <w:rFonts w:ascii="Arial" w:hAnsi="Arial" w:cs="Arial"/>
          <w:sz w:val="20"/>
          <w:szCs w:val="20"/>
          <w:lang w:val="sr-Cyrl-CS"/>
        </w:rPr>
        <w:t>š</w:t>
      </w:r>
      <w:r>
        <w:rPr>
          <w:rFonts w:ascii="Arial" w:hAnsi="Arial" w:cs="Arial"/>
          <w:sz w:val="20"/>
          <w:szCs w:val="20"/>
          <w:lang w:val="ru-RU"/>
        </w:rPr>
        <w:t>tine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- </w:t>
      </w:r>
      <w:r>
        <w:rPr>
          <w:rFonts w:ascii="Arial" w:hAnsi="Arial" w:cs="Arial"/>
          <w:sz w:val="20"/>
          <w:szCs w:val="20"/>
          <w:lang w:val="ru-RU"/>
        </w:rPr>
        <w:t>Odbora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za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prava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deteta</w:t>
      </w:r>
      <w:r w:rsidRPr="009F6E19">
        <w:rPr>
          <w:rFonts w:ascii="Arial" w:hAnsi="Arial" w:cs="Arial"/>
          <w:sz w:val="20"/>
          <w:szCs w:val="20"/>
          <w:lang w:val="ru-RU"/>
        </w:rPr>
        <w:t xml:space="preserve"> </w:t>
      </w:r>
      <w:r w:rsidRPr="009F6E19">
        <w:rPr>
          <w:rFonts w:ascii="Arial" w:hAnsi="Arial" w:cs="Arial"/>
          <w:sz w:val="20"/>
          <w:szCs w:val="20"/>
          <w:lang w:val="sr-Cyrl-CS"/>
        </w:rPr>
        <w:t>(2012.)</w:t>
      </w:r>
      <w:r w:rsidRPr="009F6E19">
        <w:rPr>
          <w:rFonts w:ascii="Arial" w:hAnsi="Arial" w:cs="Arial"/>
          <w:sz w:val="20"/>
          <w:szCs w:val="20"/>
          <w:vertAlign w:val="superscript"/>
        </w:rPr>
        <w:footnoteReference w:id="22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najavama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resornog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Ministarstva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trebalo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usvojen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zaštitniku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čije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donošenje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Konvencijom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naša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zemlja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ratifikovala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donošenje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opšteg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antidiskriminacionog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nasilja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Pripremljen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je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Prednacrt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zakona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o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pravima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ru-RU"/>
        </w:rPr>
        <w:t>deteta</w:t>
      </w:r>
      <w:r w:rsidRPr="009F6E19">
        <w:rPr>
          <w:rFonts w:ascii="Arial" w:eastAsia="Times New Roman" w:hAnsi="Arial" w:cs="Arial"/>
          <w:sz w:val="20"/>
          <w:szCs w:val="20"/>
          <w:lang w:val="sr-Cyrl-CS" w:eastAsia="ru-RU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23"/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naporima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Odbor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politiku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održivi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Parlamentarne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skupštine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Saveta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priprema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izveštaj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prestanku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".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kontekstu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zbog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malog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broja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podataka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javno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dostupni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postavljen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upitnik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parlamentarnim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službama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evropskih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država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više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informacija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sledećim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pitanjima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Definicija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lastRenderedPageBreak/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nacionaln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zakonodavstvu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;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mehanizm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podršku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roditelj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staranju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;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mehanizm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podrške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školama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namerom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obezbede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jednake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mogućnosti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;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Upitnik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Evropskog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parlamenta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</w:t>
      </w:r>
      <w:r w:rsidRPr="009F6E19">
        <w:rPr>
          <w:rFonts w:ascii="Arial" w:hAnsi="Arial" w:cs="Arial"/>
          <w:sz w:val="20"/>
          <w:szCs w:val="20"/>
          <w:lang w:val="sr-Cyrl-RS"/>
        </w:rPr>
        <w:t>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2345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septemb</w:t>
      </w:r>
      <w:r>
        <w:rPr>
          <w:rFonts w:ascii="Arial" w:hAnsi="Arial" w:cs="Arial"/>
          <w:sz w:val="20"/>
          <w:szCs w:val="20"/>
          <w:lang w:val="sr-Cyrl-RS"/>
        </w:rPr>
        <w:t>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temu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''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Istraživanje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color w:val="222222"/>
          <w:sz w:val="20"/>
          <w:szCs w:val="20"/>
          <w:lang w:val="sr-Cyrl-RS"/>
        </w:rPr>
        <w:t>''</w:t>
      </w:r>
      <w:r w:rsidRPr="009F6E19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postojanje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acionalne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strategije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rešavanje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problema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ugrožene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osnovu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odgovora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planira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izrada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analitičkog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pregleda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poređenje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situacije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političkih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rešenja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državama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članicama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Saveta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istraživanju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prikazano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kako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zaštita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uređena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dvema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evropskim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Češkoj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Mađarskoj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Tako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eško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pravnom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sistemu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postoji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definicija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već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tzv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potreba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materijaln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pomoći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 </w:t>
      </w:r>
      <w:r w:rsidRPr="009F6E19">
        <w:rPr>
          <w:rFonts w:ascii="Arial" w:hAnsi="Arial" w:cs="Arial"/>
          <w:color w:val="222222"/>
          <w:sz w:val="20"/>
          <w:szCs w:val="20"/>
          <w:lang w:val="sr-Cyrl-RS"/>
        </w:rPr>
        <w:t>(</w:t>
      </w:r>
      <w:r w:rsidRPr="009F6E19">
        <w:rPr>
          <w:rFonts w:ascii="Arial" w:hAnsi="Arial"/>
          <w:i/>
          <w:sz w:val="20"/>
          <w:szCs w:val="20"/>
          <w:lang w:val="sr-Latn-RS"/>
        </w:rPr>
        <w:t>state</w:t>
      </w:r>
      <w:r w:rsidRPr="009F6E19">
        <w:rPr>
          <w:rFonts w:ascii="Arial" w:hAnsi="Arial"/>
          <w:i/>
          <w:sz w:val="20"/>
          <w:szCs w:val="20"/>
          <w:lang w:val="sr-Cyrl-CS"/>
        </w:rPr>
        <w:t xml:space="preserve"> </w:t>
      </w:r>
      <w:r w:rsidRPr="009F6E19">
        <w:rPr>
          <w:rFonts w:ascii="Arial" w:hAnsi="Arial"/>
          <w:i/>
          <w:sz w:val="20"/>
          <w:szCs w:val="20"/>
          <w:lang w:val="sr-Latn-RS"/>
        </w:rPr>
        <w:t>of</w:t>
      </w:r>
      <w:r w:rsidRPr="009F6E19">
        <w:rPr>
          <w:rFonts w:ascii="Arial" w:hAnsi="Arial"/>
          <w:i/>
          <w:sz w:val="20"/>
          <w:szCs w:val="20"/>
          <w:lang w:val="sr-Cyrl-CS"/>
        </w:rPr>
        <w:t xml:space="preserve"> </w:t>
      </w:r>
      <w:r w:rsidRPr="009F6E19">
        <w:rPr>
          <w:rFonts w:ascii="Arial" w:hAnsi="Arial"/>
          <w:i/>
          <w:sz w:val="20"/>
          <w:szCs w:val="20"/>
          <w:lang w:val="sr-Latn-RS"/>
        </w:rPr>
        <w:t>material</w:t>
      </w:r>
      <w:r w:rsidRPr="009F6E19">
        <w:rPr>
          <w:rFonts w:ascii="Arial" w:hAnsi="Arial"/>
          <w:i/>
          <w:sz w:val="20"/>
          <w:szCs w:val="20"/>
          <w:lang w:val="sr-Cyrl-CS"/>
        </w:rPr>
        <w:t xml:space="preserve"> </w:t>
      </w:r>
      <w:r w:rsidRPr="009F6E19">
        <w:rPr>
          <w:rFonts w:ascii="Arial" w:hAnsi="Arial"/>
          <w:i/>
          <w:sz w:val="20"/>
          <w:szCs w:val="20"/>
          <w:lang w:val="sr-Latn-RS"/>
        </w:rPr>
        <w:t>need</w:t>
      </w:r>
      <w:r w:rsidRPr="009F6E19">
        <w:rPr>
          <w:rFonts w:ascii="Arial" w:hAnsi="Arial"/>
          <w:i/>
          <w:sz w:val="20"/>
          <w:szCs w:val="20"/>
          <w:lang w:val="sr-Cyrl-CS"/>
        </w:rPr>
        <w:t>)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definisan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određenim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aktima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Takođe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postoji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jasna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definicija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15,2%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tiče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ehaniz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podršku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roditeljima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beneficij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vladin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podrške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dostupn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nevolji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navodi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vezi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irektn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donacijama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osebni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pomoći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pojedine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ehanizmi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ustanovljeni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školama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namerom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obezbede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jednake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mogućnosti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sve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pitanje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acionalne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strategije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rešavanje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problema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potreb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ugrožene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konkretne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akcije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preduzimaju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namerom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obezbedi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jednak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pristup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uslugama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odgovoreno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Češkoj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ostoji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univerzalni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sistem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podrazumeva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uslug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besplatn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dostupn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svako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država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postoje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posebne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primeniti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Z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akonska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definicija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Mađarskoj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Centralni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zavod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statistiku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Mađarske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standarde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merenje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predstavljaju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apsolutn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pokazatelje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ispod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socijalnog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minimuma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prolazn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tokom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),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subjektivno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osob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govore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sebi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noj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osobi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generalni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indikator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relativn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Mađarskoj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računa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pokazatelja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koristi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domaćinstvima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60%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prosečnih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primanja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mlađih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18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januar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797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955 (18%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populacije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dok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380 000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(21% 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ukupnog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broja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živel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bedi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podacima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2009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Zabrinjavajući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podaci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Mađarskoj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2010.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starosti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Latn-RS"/>
        </w:rPr>
        <w:footnoteReference w:id="24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ukupnu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polula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ciju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12,3%,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populaciju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uzrasta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17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20,3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%,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18-64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starosti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11,9%,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iznad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65.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bila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4,9%.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>Prema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Zakonu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zaštiti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/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redovn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dečji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dodatak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moraju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plaćaju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obroke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vrtićima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obdaništu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školi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Oko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400 000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besplatne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obroke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Dnevni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obroci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jeftiniji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50%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više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invaliditetom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trajno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bolesno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Dodatak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normativa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Lokalne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samouprave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zavisnosti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mogućnosti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obezbediti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odatnu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pomoć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F6E19">
        <w:rPr>
          <w:rFonts w:ascii="Arial" w:hAnsi="Arial" w:cs="Arial"/>
          <w:i/>
          <w:color w:val="222222"/>
          <w:sz w:val="20"/>
          <w:szCs w:val="20"/>
          <w:lang w:val="sr-Latn-RS"/>
        </w:rPr>
        <w:t>“Money for Journey”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raznih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podkomponent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pružaju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šanse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ugrožene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učenike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/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studente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školovali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srednjoj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školi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tudent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mesečnu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sumu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takođe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pomoć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tokom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završnih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škol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kvalifikovao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više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nivoe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školovanja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Navedeni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rade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saradnji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Javnim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fondom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mađarskih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lanira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podrške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studenata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Roma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stipendiju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finansijsku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podršku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pomoć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toku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ovih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dostigne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50%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Prema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zvaničnim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procenama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Mađarskoj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skoro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3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miliona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ljudi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ispod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granice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čak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1,2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miliona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njih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ekstremnom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Latn-R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Latn-RS"/>
        </w:rPr>
        <w:footnoteReference w:id="25"/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ljudi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ugroženim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regionima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pogođeni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ekstremnim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Većina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pripada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ovoj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grupi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ukupan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oko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750.000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olitika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čiji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cilj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aktivno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uključivanje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javni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život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Mađarskoj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nije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odvojen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opšte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borbe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protiv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usklađena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propisima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integraciju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Roma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2020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26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lada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izradila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Nacionalnu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strategiju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socijalnog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uključivanja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okviru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treba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utvrde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srednjoročni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ciljev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Akcioni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plan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27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Nacionalna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Mađarskoj</w:t>
      </w:r>
      <w:r w:rsidRPr="009F6E19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podrazumeva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sledeće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programe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i/>
          <w:sz w:val="20"/>
          <w:szCs w:val="20"/>
          <w:lang w:val="sr-Latn-RS"/>
        </w:rPr>
        <w:t>Semmelweis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čuvanje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zdravlj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Mađarske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2011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predstavlja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nac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ionalni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populacij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posebno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poglavlje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razvoj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uslug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val="sr-Cyrl-CS" w:eastAsia="hu-HU"/>
        </w:rPr>
      </w:pP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2.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stvene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zaštite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2013-201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6.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28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sledeće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podkomponente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perinatalna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zaštita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promociju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škol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zdravlja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psiho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socijalni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skrining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usmeren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mlađu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7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Predviđa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takođe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praćenj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implementacije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Programa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nacionaln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imunizacij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acionaln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AIDS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alkoholizma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zaštitu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bolesti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poboljšanje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kvalitata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ishrana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obrazovanju</w:t>
      </w:r>
      <w:r w:rsidRPr="009F6E19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nejednakosti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zdravstvu</w:t>
      </w:r>
      <w:r w:rsidRPr="009F6E19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organizacione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poslove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unapređenju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zdravstven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usluga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9F6E19">
        <w:rPr>
          <w:rFonts w:ascii="Arial" w:hAnsi="Arial" w:cs="Arial"/>
          <w:i/>
          <w:color w:val="222222"/>
          <w:sz w:val="20"/>
          <w:szCs w:val="20"/>
          <w:lang w:val="sr-Latn-RS"/>
        </w:rPr>
        <w:lastRenderedPageBreak/>
        <w:t>3</w:t>
      </w:r>
      <w:r w:rsidRPr="009F6E19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i/>
          <w:color w:val="222222"/>
          <w:sz w:val="20"/>
          <w:szCs w:val="20"/>
          <w:lang w:val="sr-Cyrl-CS"/>
        </w:rPr>
        <w:t>Nacionalna</w:t>
      </w:r>
      <w:r w:rsidRPr="009F6E19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Cyrl-CS"/>
        </w:rPr>
        <w:t>strategija</w:t>
      </w:r>
      <w:r w:rsidRPr="009F6E19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Cyrl-CS"/>
        </w:rPr>
        <w:t>socijalnu</w:t>
      </w:r>
      <w:r w:rsidRPr="009F6E19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Cyrl-CS"/>
        </w:rPr>
        <w:t>inkluziju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29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definisani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rincip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zadaci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stvu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nacionalni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program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socijalno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uključivanje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F6E19" w:rsidRPr="009F6E19" w:rsidRDefault="009F6E19" w:rsidP="00992DA3">
      <w:pPr>
        <w:pStyle w:val="Heading1"/>
        <w:rPr>
          <w:rFonts w:eastAsia="Calibri"/>
          <w:lang w:val="sr-Cyrl-CS"/>
        </w:rPr>
      </w:pPr>
      <w:bookmarkStart w:id="7" w:name="_Toc373492994"/>
      <w:r>
        <w:rPr>
          <w:rFonts w:eastAsia="Calibri"/>
          <w:lang w:val="sr-Cyrl-CS"/>
        </w:rPr>
        <w:t>Z</w:t>
      </w:r>
      <w:r>
        <w:rPr>
          <w:rFonts w:eastAsia="Calibri"/>
          <w:lang w:val="sr-Latn-RS"/>
        </w:rPr>
        <w:t>aključ</w:t>
      </w:r>
      <w:r>
        <w:rPr>
          <w:rFonts w:eastAsia="Calibri"/>
          <w:lang w:val="sr-Cyrl-CS"/>
        </w:rPr>
        <w:t>a</w:t>
      </w:r>
      <w:r>
        <w:rPr>
          <w:rFonts w:eastAsia="Calibri"/>
          <w:lang w:val="sr-Latn-RS"/>
        </w:rPr>
        <w:t>k</w:t>
      </w:r>
      <w:bookmarkEnd w:id="7"/>
    </w:p>
    <w:p w:rsidR="009F6E19" w:rsidRPr="009F6E19" w:rsidRDefault="009F6E19" w:rsidP="009F6E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Nepovoljni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demografski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trendovi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doprineli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pogoršanju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indikatora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posledica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negativnog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prirodnog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priraštaja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stanovništvo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2005-2010.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4,5%,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čak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13% </w:t>
      </w:r>
      <w:r>
        <w:rPr>
          <w:rFonts w:ascii="Arial" w:hAnsi="Arial" w:cs="Arial"/>
          <w:sz w:val="20"/>
          <w:szCs w:val="20"/>
          <w:lang w:val="sr-Latn-RS"/>
        </w:rPr>
        <w:t>tako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(15-64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iznosio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59,1% </w:t>
      </w:r>
      <w:r>
        <w:rPr>
          <w:rFonts w:ascii="Arial" w:hAnsi="Arial" w:cs="Arial"/>
          <w:sz w:val="20"/>
          <w:szCs w:val="20"/>
          <w:lang w:val="sr-Latn-RS"/>
        </w:rPr>
        <w:t>ukupnog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prosek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oktobra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2009.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(71,3%).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</w:t>
      </w:r>
      <w:r>
        <w:rPr>
          <w:rFonts w:ascii="Arial" w:hAnsi="Arial" w:cs="Arial"/>
          <w:sz w:val="20"/>
          <w:szCs w:val="20"/>
          <w:lang w:val="sr-Latn-RS"/>
        </w:rPr>
        <w:t>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35,8% 2005.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28,2% 2010.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uzrasta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(15-64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dostigao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minimum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11%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2005.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odinu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Cyrl-CS"/>
        </w:rPr>
        <w:footnoteReference w:id="30"/>
      </w:r>
      <w:r w:rsidRPr="009F6E19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najnovijim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</w:t>
      </w:r>
      <w:r>
        <w:rPr>
          <w:rFonts w:ascii="Arial" w:hAnsi="Arial" w:cs="Arial"/>
          <w:sz w:val="20"/>
          <w:szCs w:val="20"/>
          <w:lang w:val="sr-Latn-RS"/>
        </w:rPr>
        <w:t>ezaposlenost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(15-24)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51,2%,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dvostruko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starijeg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15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navodi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Takođe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</w:t>
      </w:r>
      <w:r>
        <w:rPr>
          <w:rFonts w:ascii="Arial" w:hAnsi="Arial" w:cs="Arial"/>
          <w:sz w:val="20"/>
          <w:szCs w:val="20"/>
          <w:lang w:val="sr-Latn-RS"/>
        </w:rPr>
        <w:t>topa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neuporedivo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27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Oček</w:t>
      </w:r>
      <w:r>
        <w:rPr>
          <w:rFonts w:ascii="Arial" w:hAnsi="Arial" w:cs="Arial"/>
          <w:sz w:val="20"/>
          <w:szCs w:val="20"/>
          <w:lang w:val="sr-Cyrl-CS"/>
        </w:rPr>
        <w:t>uje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uspešnije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prepoznati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specifičnosti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rizičnih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efikasnije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odgovarati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znatno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brže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doprineti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njihovoj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inegraciji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Napred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navedeno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posebnim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osvrtom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stepen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povezanosti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institucija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efikasnije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doprin</w:t>
      </w:r>
      <w:r>
        <w:rPr>
          <w:rFonts w:ascii="Arial" w:hAnsi="Arial" w:cs="Arial"/>
          <w:sz w:val="20"/>
          <w:szCs w:val="20"/>
          <w:lang w:val="sr-Cyrl-CS"/>
        </w:rPr>
        <w:t>eti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poboljšanju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položaja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važno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imajući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vidu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</w:t>
      </w:r>
      <w:r>
        <w:rPr>
          <w:rFonts w:ascii="Arial" w:hAnsi="Arial" w:cs="Arial"/>
          <w:sz w:val="20"/>
          <w:szCs w:val="20"/>
          <w:lang w:val="sr-Latn-RS"/>
        </w:rPr>
        <w:t>ezultati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analiziranih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projekcija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ukazuju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dogledno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teško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očekivati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poboljšanje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demografske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situacije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obeležena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smanjenjem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njegovim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vrlo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intenzivnim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starenjem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31"/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Aktuelna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starosna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struktura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duboko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ukorenjene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niske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reproduktivne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norme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društveno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prilike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važnijih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činilaca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odlučujuće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delovati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demografski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razvitak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narednih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</w:t>
      </w:r>
      <w:r>
        <w:rPr>
          <w:rFonts w:ascii="Arial" w:hAnsi="Arial" w:cs="Arial"/>
          <w:sz w:val="20"/>
          <w:szCs w:val="20"/>
          <w:lang w:val="sr-Latn-RS"/>
        </w:rPr>
        <w:t>ezaposlenost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glavni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uzrok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među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sposobnim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znatno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Mladi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zbog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otežanog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pristupa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tržištu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svrstani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kategoriju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ranjivih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zato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uspevaju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odgovore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dodatno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otežanom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položaju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Navode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projekcije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stope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odraslog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stanovništva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(15+)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period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2013-2020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>.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cilju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komparativne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analize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položaja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27,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prikazana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uočeno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najveći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procenat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mladih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prošle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Španiji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čak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20,6%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Grčkoj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16,1%</w:t>
      </w:r>
      <w:r w:rsidRPr="009F6E19">
        <w:rPr>
          <w:rFonts w:ascii="Arial" w:hAnsi="Arial" w:cs="Arial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Takođe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uočeno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veći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procenat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razmatranim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zemljama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Tabela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9F6E19">
        <w:rPr>
          <w:rFonts w:ascii="Arial" w:hAnsi="Arial" w:cs="Arial"/>
          <w:sz w:val="20"/>
          <w:szCs w:val="20"/>
          <w:lang w:val="sr-Cyrl-CS"/>
        </w:rPr>
        <w:t>: 2.)</w:t>
      </w:r>
      <w:r w:rsidRPr="009F6E19">
        <w:rPr>
          <w:rFonts w:ascii="Arial" w:hAnsi="Arial" w:cs="Arial"/>
          <w:b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Statistički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ukazuju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konomska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kriza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pogodil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više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drugih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starosnih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grupa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17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zemalja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evro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zone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11,8%,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najveća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1995.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32"/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početka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2009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jaz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između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porasla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tako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kraju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2,6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puta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veća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ukupn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Sredinom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mladih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evrozone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prestig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la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stop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nezaposlenosti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-27.</w:t>
      </w:r>
      <w:r w:rsidRPr="009F6E19">
        <w:rPr>
          <w:rFonts w:ascii="Arial" w:hAnsi="Arial" w:cs="Arial"/>
          <w:color w:val="222222"/>
          <w:sz w:val="20"/>
          <w:szCs w:val="20"/>
          <w:vertAlign w:val="superscript"/>
          <w:lang w:val="sr-Latn-RS"/>
        </w:rPr>
        <w:footnoteReference w:id="33"/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sklopu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Strategije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2020. </w:t>
      </w:r>
      <w:r>
        <w:rPr>
          <w:rFonts w:ascii="Arial" w:hAnsi="Arial" w:cs="Arial"/>
          <w:sz w:val="20"/>
          <w:szCs w:val="20"/>
          <w:lang w:val="sr-Cyrl-CS"/>
        </w:rPr>
        <w:t>definisana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Evropska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platforma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borbu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protiv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pomoglo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ljudima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suočenim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siromaštvom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preporuka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unapređenje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saradnje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nacionalne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regionalne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vlasti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uključujući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partnere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predstavnike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civilnog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društva</w:t>
      </w:r>
      <w:r w:rsidRPr="009F6E19">
        <w:rPr>
          <w:rFonts w:ascii="Arial" w:hAnsi="Arial" w:cs="Arial"/>
          <w:sz w:val="20"/>
          <w:szCs w:val="20"/>
          <w:lang w:val="sr-Cyrl-CS"/>
        </w:rPr>
        <w:t>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9F6E19" w:rsidRPr="009F6E19" w:rsidRDefault="009F6E19" w:rsidP="009F6E19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međunarodnog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zakonodavstva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prikazan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zakonodavni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okvir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9F6E19">
        <w:rPr>
          <w:rFonts w:ascii="Arial" w:hAnsi="Arial" w:cs="Arial"/>
          <w:sz w:val="20"/>
          <w:szCs w:val="20"/>
          <w:lang w:val="sr-Cyrl-CS"/>
        </w:rPr>
        <w:t>:</w:t>
      </w:r>
      <w:r w:rsidRPr="009F6E19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smanjenje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(2003.), </w:t>
      </w:r>
      <w:r>
        <w:rPr>
          <w:rFonts w:ascii="Arial" w:hAnsi="Arial" w:cs="Arial"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razvoja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socijalne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zaštite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(2005.),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Nacionalna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strategija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9F6E19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mlade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(2008.) </w:t>
      </w:r>
      <w:r>
        <w:rPr>
          <w:rFonts w:ascii="Arial" w:hAnsi="Arial" w:cs="Arial"/>
          <w:bCs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Zakon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socijalnoj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zaštiti</w:t>
      </w:r>
      <w:r w:rsidRPr="009F6E19">
        <w:rPr>
          <w:rFonts w:ascii="Arial" w:hAnsi="Arial" w:cs="Arial"/>
          <w:bCs/>
          <w:sz w:val="20"/>
          <w:szCs w:val="20"/>
          <w:lang w:val="sr-Cyrl-CS"/>
        </w:rPr>
        <w:t xml:space="preserve"> (2011.). 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istraživanja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</w:t>
      </w:r>
      <w:r>
        <w:rPr>
          <w:rFonts w:ascii="Arial" w:hAnsi="Arial" w:cs="Arial"/>
          <w:sz w:val="20"/>
          <w:szCs w:val="20"/>
          <w:lang w:val="sr-Latn-RS"/>
        </w:rPr>
        <w:t>aštit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važnih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segmenata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program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zdrav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stvene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zaštite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napori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stopa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Evropi</w:t>
      </w:r>
      <w:r w:rsidRPr="009F6E19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tom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smislu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navedeni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primeri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prakse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drugih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zemalja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ovoj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oblasti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Češka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Mađarska</w:t>
      </w:r>
      <w:r w:rsidRPr="009F6E19">
        <w:rPr>
          <w:rFonts w:ascii="Arial" w:hAnsi="Arial" w:cs="Arial"/>
          <w:color w:val="222222"/>
          <w:sz w:val="20"/>
          <w:szCs w:val="20"/>
          <w:lang w:val="sr-Cyrl-CS"/>
        </w:rPr>
        <w:t>).</w:t>
      </w: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F6E19" w:rsidRPr="009F6E19" w:rsidRDefault="009F6E19" w:rsidP="009F6E19">
      <w:pPr>
        <w:jc w:val="right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Istraživanje</w:t>
      </w:r>
      <w:r w:rsidRPr="009F6E19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uradila</w:t>
      </w:r>
      <w:r w:rsidRPr="009F6E19">
        <w:rPr>
          <w:rFonts w:ascii="Arial" w:hAnsi="Arial" w:cs="Arial"/>
          <w:b/>
          <w:sz w:val="20"/>
          <w:szCs w:val="20"/>
          <w:lang w:val="sr-Cyrl-CS"/>
        </w:rPr>
        <w:t xml:space="preserve">: </w:t>
      </w:r>
    </w:p>
    <w:p w:rsidR="009F6E19" w:rsidRPr="009F6E19" w:rsidRDefault="009F6E19" w:rsidP="009F6E19">
      <w:pPr>
        <w:jc w:val="right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Marina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Prijić</w:t>
      </w:r>
      <w:r w:rsidRPr="009F6E19">
        <w:rPr>
          <w:rFonts w:ascii="Arial" w:hAnsi="Arial" w:cs="Arial"/>
          <w:sz w:val="20"/>
          <w:szCs w:val="20"/>
          <w:lang w:val="sr-Cyrl-CS"/>
        </w:rPr>
        <w:t>,</w:t>
      </w:r>
    </w:p>
    <w:p w:rsidR="009F6E19" w:rsidRPr="009F6E19" w:rsidRDefault="009F6E19" w:rsidP="009F6E19">
      <w:pPr>
        <w:jc w:val="right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viši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- 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F6E19" w:rsidRPr="009F6E19" w:rsidRDefault="009F6E19" w:rsidP="009F6E19">
      <w:pPr>
        <w:jc w:val="both"/>
        <w:rPr>
          <w:rFonts w:ascii="Arial" w:hAnsi="Arial" w:cs="Arial"/>
          <w:b/>
          <w:sz w:val="20"/>
          <w:szCs w:val="20"/>
        </w:rPr>
      </w:pPr>
    </w:p>
    <w:p w:rsidR="009F6E19" w:rsidRPr="00992DA3" w:rsidRDefault="009F6E19" w:rsidP="00992DA3">
      <w:pPr>
        <w:rPr>
          <w:rFonts w:ascii="Arial" w:hAnsi="Arial" w:cs="Arial"/>
          <w:b/>
          <w:bCs/>
          <w:sz w:val="20"/>
          <w:szCs w:val="20"/>
          <w:lang w:val="sr-Cyrl-CS"/>
        </w:rPr>
      </w:pPr>
      <w:r w:rsidRPr="00992DA3">
        <w:rPr>
          <w:rFonts w:ascii="Arial" w:hAnsi="Arial" w:cs="Arial"/>
          <w:b/>
          <w:bCs/>
          <w:sz w:val="20"/>
          <w:szCs w:val="20"/>
          <w:lang w:val="sr-Cyrl-CS"/>
        </w:rPr>
        <w:t>Izvori informacija:</w:t>
      </w:r>
    </w:p>
    <w:p w:rsidR="009F6E19" w:rsidRPr="009F6E19" w:rsidRDefault="009F6E19" w:rsidP="009F6E19">
      <w:pPr>
        <w:rPr>
          <w:lang w:val="sr-Cyrl-CS"/>
        </w:rPr>
      </w:pPr>
    </w:p>
    <w:p w:rsidR="009F6E19" w:rsidRPr="009F6E19" w:rsidRDefault="009F6E19" w:rsidP="009F6E1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Anketa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radnoj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snazi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oktobar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</w:t>
      </w:r>
      <w:r w:rsidRPr="009F6E19">
        <w:rPr>
          <w:rFonts w:ascii="Arial" w:hAnsi="Arial" w:cs="Arial"/>
          <w:sz w:val="20"/>
          <w:szCs w:val="20"/>
          <w:lang w:val="sr-Cyrl-CS"/>
        </w:rPr>
        <w:t>2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april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201</w:t>
      </w:r>
      <w:r w:rsidRPr="009F6E19">
        <w:rPr>
          <w:rFonts w:ascii="Arial" w:hAnsi="Arial" w:cs="Arial"/>
          <w:sz w:val="20"/>
          <w:szCs w:val="20"/>
          <w:lang w:val="sr-Cyrl-CS"/>
        </w:rPr>
        <w:t>3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;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Republički</w:t>
      </w:r>
      <w:r w:rsidRPr="009F6E19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zavod</w:t>
      </w:r>
      <w:r w:rsidRPr="009F6E19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9F6E19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statistiku</w:t>
      </w:r>
    </w:p>
    <w:p w:rsidR="009F6E19" w:rsidRPr="009F6E19" w:rsidRDefault="009F6E19" w:rsidP="009F6E1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sr-Cyrl-CS"/>
        </w:rPr>
      </w:pPr>
      <w:r w:rsidRPr="009F6E19">
        <w:rPr>
          <w:rFonts w:ascii="Arial" w:hAnsi="Arial" w:cs="Arial"/>
          <w:sz w:val="20"/>
          <w:szCs w:val="20"/>
          <w:lang w:val="sr-Latn-CS"/>
        </w:rPr>
        <w:t>E</w:t>
      </w:r>
      <w:r>
        <w:rPr>
          <w:rFonts w:ascii="Arial" w:hAnsi="Arial" w:cs="Arial"/>
          <w:sz w:val="20"/>
          <w:szCs w:val="20"/>
          <w:lang w:val="sr-Cyrl-CS"/>
        </w:rPr>
        <w:t>urostat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9F6E19">
        <w:rPr>
          <w:rFonts w:ascii="Arial" w:hAnsi="Arial" w:cs="Arial"/>
          <w:sz w:val="20"/>
          <w:szCs w:val="20"/>
          <w:lang w:val="sr-Latn-CS"/>
        </w:rPr>
        <w:t>2013.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), </w:t>
      </w:r>
      <w:r w:rsidRPr="009F6E19">
        <w:rPr>
          <w:rFonts w:ascii="Arial" w:hAnsi="Arial" w:cs="Arial"/>
          <w:i/>
          <w:sz w:val="20"/>
          <w:szCs w:val="20"/>
          <w:lang w:val="en"/>
        </w:rPr>
        <w:t>Unemployment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i/>
          <w:sz w:val="20"/>
          <w:szCs w:val="20"/>
          <w:lang w:val="sr-Latn-CS"/>
        </w:rPr>
        <w:t xml:space="preserve">rate 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2001-2012; </w:t>
      </w:r>
      <w:r w:rsidRPr="009F6E19">
        <w:rPr>
          <w:rFonts w:ascii="Arial" w:hAnsi="Arial" w:cs="Arial"/>
          <w:i/>
          <w:sz w:val="20"/>
          <w:szCs w:val="20"/>
          <w:lang w:val="en"/>
        </w:rPr>
        <w:t>Youth unemployment trends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F6E19">
        <w:rPr>
          <w:rFonts w:ascii="Arial" w:hAnsi="Arial" w:cs="Arial"/>
          <w:i/>
          <w:sz w:val="20"/>
          <w:szCs w:val="20"/>
          <w:lang w:val="en"/>
        </w:rPr>
        <w:t xml:space="preserve"> </w:t>
      </w:r>
    </w:p>
    <w:p w:rsidR="009F6E19" w:rsidRPr="009F6E19" w:rsidRDefault="009F6E19" w:rsidP="009F6E1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>Zakon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RS"/>
        </w:rPr>
        <w:t>o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RS"/>
        </w:rPr>
        <w:t>socijalnoj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RS"/>
        </w:rPr>
        <w:t>zaštiti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RS"/>
        </w:rPr>
        <w:t>Službeni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RS"/>
        </w:rPr>
        <w:t>glasnik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RS"/>
        </w:rPr>
        <w:t>RS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RS"/>
        </w:rPr>
        <w:t>broj</w:t>
      </w:r>
      <w:r w:rsidRPr="009F6E19">
        <w:rPr>
          <w:rFonts w:ascii="Arial" w:eastAsia="Calibri" w:hAnsi="Arial" w:cs="Arial"/>
          <w:sz w:val="20"/>
          <w:szCs w:val="20"/>
          <w:lang w:val="sr-Latn-RS"/>
        </w:rPr>
        <w:t xml:space="preserve"> 24/2011.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>)</w:t>
      </w:r>
    </w:p>
    <w:p w:rsidR="009F6E19" w:rsidRPr="009F6E19" w:rsidRDefault="009F6E19" w:rsidP="009F6E1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Penev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G</w:t>
      </w:r>
      <w:r w:rsidRPr="009F6E19">
        <w:rPr>
          <w:rFonts w:ascii="Arial" w:hAnsi="Arial" w:cs="Arial"/>
          <w:sz w:val="20"/>
          <w:szCs w:val="20"/>
          <w:lang w:val="sr-Cyrl-CS"/>
        </w:rPr>
        <w:t xml:space="preserve">., </w:t>
      </w:r>
      <w:r w:rsidRPr="009F6E19">
        <w:rPr>
          <w:rFonts w:ascii="Arial" w:hAnsi="Arial" w:cs="Arial"/>
          <w:sz w:val="20"/>
          <w:szCs w:val="20"/>
          <w:lang w:val="sr-Latn-CS"/>
        </w:rPr>
        <w:t xml:space="preserve">(2013.) </w:t>
      </w:r>
      <w:r>
        <w:rPr>
          <w:rFonts w:ascii="Arial" w:hAnsi="Arial" w:cs="Arial"/>
          <w:i/>
          <w:sz w:val="20"/>
          <w:szCs w:val="20"/>
          <w:lang w:val="sr-Cyrl-CS"/>
        </w:rPr>
        <w:t>Projekcije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stanovništva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Srbije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od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2010. </w:t>
      </w:r>
      <w:r>
        <w:rPr>
          <w:rFonts w:ascii="Arial" w:hAnsi="Arial" w:cs="Arial"/>
          <w:i/>
          <w:sz w:val="20"/>
          <w:szCs w:val="20"/>
          <w:lang w:val="sr-Cyrl-CS"/>
        </w:rPr>
        <w:t>do</w:t>
      </w:r>
      <w:r w:rsidRPr="009F6E19">
        <w:rPr>
          <w:rFonts w:ascii="Arial" w:hAnsi="Arial" w:cs="Arial"/>
          <w:i/>
          <w:sz w:val="20"/>
          <w:szCs w:val="20"/>
          <w:lang w:val="sr-Cyrl-CS"/>
        </w:rPr>
        <w:t xml:space="preserve"> 2060. </w:t>
      </w:r>
      <w:r>
        <w:rPr>
          <w:rFonts w:ascii="Arial" w:hAnsi="Arial" w:cs="Arial"/>
          <w:i/>
          <w:sz w:val="20"/>
          <w:szCs w:val="20"/>
          <w:lang w:val="sr-Cyrl-CS"/>
        </w:rPr>
        <w:t>godine</w:t>
      </w:r>
    </w:p>
    <w:p w:rsidR="009F6E19" w:rsidRPr="009F6E19" w:rsidRDefault="009F6E19" w:rsidP="009F6E19">
      <w:pPr>
        <w:numPr>
          <w:ilvl w:val="0"/>
          <w:numId w:val="3"/>
        </w:numPr>
        <w:spacing w:after="0" w:line="360" w:lineRule="auto"/>
        <w:contextualSpacing/>
        <w:rPr>
          <w:rFonts w:eastAsia="Calibri"/>
          <w:sz w:val="24"/>
          <w:szCs w:val="24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Prezentacija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studije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socijalnoj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politici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Srbije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 w:rsidRPr="009F6E19">
        <w:rPr>
          <w:rFonts w:ascii="Arial" w:eastAsia="Calibri" w:hAnsi="Arial" w:cs="Arial"/>
          <w:sz w:val="20"/>
          <w:szCs w:val="20"/>
          <w:lang w:val="sr-Latn-CS"/>
        </w:rPr>
        <w:t>„</w:t>
      </w:r>
      <w:r>
        <w:rPr>
          <w:rFonts w:ascii="Arial" w:eastAsia="Calibri" w:hAnsi="Arial" w:cs="Arial"/>
          <w:i/>
          <w:sz w:val="20"/>
          <w:szCs w:val="20"/>
          <w:lang w:val="sr-Latn-CS"/>
        </w:rPr>
        <w:t>Socijalna</w:t>
      </w:r>
      <w:r w:rsidRPr="009F6E19">
        <w:rPr>
          <w:rFonts w:ascii="Arial" w:eastAsia="Calibri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sr-Latn-CS"/>
        </w:rPr>
        <w:t>sigurnost</w:t>
      </w:r>
      <w:r w:rsidRPr="009F6E19">
        <w:rPr>
          <w:rFonts w:ascii="Arial" w:eastAsia="Calibri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sr-Latn-CS"/>
        </w:rPr>
        <w:t>u</w:t>
      </w:r>
      <w:r w:rsidRPr="009F6E19">
        <w:rPr>
          <w:rFonts w:ascii="Arial" w:eastAsia="Calibri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sr-Latn-CS"/>
        </w:rPr>
        <w:t>Srbiji</w:t>
      </w:r>
      <w:r w:rsidRPr="009F6E19">
        <w:rPr>
          <w:rFonts w:ascii="Arial" w:eastAsia="Calibri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sr-Latn-CS"/>
        </w:rPr>
        <w:t>nakon</w:t>
      </w:r>
      <w:r w:rsidRPr="009F6E19">
        <w:rPr>
          <w:rFonts w:ascii="Arial" w:eastAsia="Calibri" w:hAnsi="Arial" w:cs="Arial"/>
          <w:i/>
          <w:sz w:val="20"/>
          <w:szCs w:val="20"/>
          <w:lang w:val="sr-Latn-CS"/>
        </w:rPr>
        <w:t xml:space="preserve"> 2000</w:t>
      </w:r>
      <w:r w:rsidRPr="009F6E19">
        <w:rPr>
          <w:rFonts w:ascii="Arial" w:eastAsia="Calibri" w:hAnsi="Arial" w:cs="Arial"/>
          <w:sz w:val="20"/>
          <w:szCs w:val="20"/>
          <w:lang w:val="sr-Latn-CS"/>
        </w:rPr>
        <w:t>.“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Dom</w:t>
      </w:r>
      <w:r w:rsidRPr="009F6E19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NS</w:t>
      </w:r>
    </w:p>
    <w:p w:rsidR="009F6E19" w:rsidRPr="009F6E19" w:rsidRDefault="009F6E19" w:rsidP="009F6E1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sr-Cyrl-CS"/>
        </w:rPr>
      </w:pPr>
      <w:r>
        <w:rPr>
          <w:rFonts w:ascii="Arial" w:eastAsia="Calibri" w:hAnsi="Arial" w:cs="Arial"/>
          <w:bCs/>
          <w:i/>
          <w:sz w:val="20"/>
          <w:szCs w:val="20"/>
          <w:lang w:val="sr-Cyrl-CS"/>
        </w:rPr>
        <w:t>Procena</w:t>
      </w:r>
      <w:r w:rsidRPr="009F6E19">
        <w:rPr>
          <w:rFonts w:ascii="Arial" w:eastAsia="Calibri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sz w:val="20"/>
          <w:szCs w:val="20"/>
          <w:lang w:val="sr-Cyrl-CS"/>
        </w:rPr>
        <w:t>uticaja</w:t>
      </w:r>
      <w:r w:rsidRPr="009F6E19">
        <w:rPr>
          <w:rFonts w:ascii="Arial" w:eastAsia="Calibri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sz w:val="20"/>
          <w:szCs w:val="20"/>
          <w:lang w:val="sr-Cyrl-CS"/>
        </w:rPr>
        <w:t>politika</w:t>
      </w:r>
      <w:r w:rsidRPr="009F6E19">
        <w:rPr>
          <w:rFonts w:ascii="Arial" w:eastAsia="Calibri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sz w:val="20"/>
          <w:szCs w:val="20"/>
          <w:lang w:val="sr-Cyrl-CS"/>
        </w:rPr>
        <w:t>u</w:t>
      </w:r>
      <w:r w:rsidRPr="009F6E19">
        <w:rPr>
          <w:rFonts w:ascii="Arial" w:eastAsia="Calibri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sz w:val="20"/>
          <w:szCs w:val="20"/>
          <w:lang w:val="sr-Cyrl-CS"/>
        </w:rPr>
        <w:t>oblasti</w:t>
      </w:r>
      <w:r w:rsidRPr="009F6E19">
        <w:rPr>
          <w:rFonts w:ascii="Arial" w:eastAsia="Calibri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sz w:val="20"/>
          <w:szCs w:val="20"/>
          <w:lang w:val="sr-Cyrl-CS"/>
        </w:rPr>
        <w:t>zapošljavanja</w:t>
      </w:r>
      <w:r w:rsidRPr="009F6E19">
        <w:rPr>
          <w:rFonts w:ascii="Arial" w:eastAsia="Calibri" w:hAnsi="Arial" w:cs="Arial"/>
          <w:bCs/>
          <w:i/>
          <w:sz w:val="20"/>
          <w:szCs w:val="20"/>
          <w:lang w:val="sr-Cyrl-CS"/>
        </w:rPr>
        <w:t xml:space="preserve"> 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>(</w:t>
      </w:r>
      <w:r w:rsidRPr="009F6E19">
        <w:rPr>
          <w:rFonts w:ascii="Arial" w:eastAsia="Calibri" w:hAnsi="Arial" w:cs="Arial"/>
          <w:bCs/>
          <w:sz w:val="20"/>
          <w:szCs w:val="20"/>
          <w:lang w:val="sr-Latn-RS"/>
        </w:rPr>
        <w:t>2013.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), </w:t>
      </w:r>
      <w:r>
        <w:rPr>
          <w:rFonts w:ascii="Arial" w:eastAsia="Calibri" w:hAnsi="Arial" w:cs="Arial"/>
          <w:bCs/>
          <w:sz w:val="20"/>
          <w:szCs w:val="20"/>
          <w:lang w:val="sr-Cyrl-CS"/>
        </w:rPr>
        <w:t>I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straživanj</w:t>
      </w:r>
      <w:r>
        <w:rPr>
          <w:rFonts w:ascii="Arial" w:eastAsia="Calibri" w:hAnsi="Arial" w:cs="Arial"/>
          <w:bCs/>
          <w:sz w:val="20"/>
          <w:szCs w:val="20"/>
          <w:lang w:val="sr-Cyrl-CS"/>
        </w:rPr>
        <w:t>e</w:t>
      </w:r>
      <w:r w:rsidRPr="009F6E19">
        <w:rPr>
          <w:rFonts w:ascii="Arial" w:eastAsia="Calibri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Fondacije</w:t>
      </w:r>
      <w:r w:rsidRPr="009F6E19">
        <w:rPr>
          <w:rFonts w:ascii="Arial" w:eastAsia="Calibri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za</w:t>
      </w:r>
      <w:r w:rsidRPr="009F6E19">
        <w:rPr>
          <w:rFonts w:ascii="Arial" w:eastAsia="Calibri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razvoj</w:t>
      </w:r>
      <w:r w:rsidRPr="009F6E19">
        <w:rPr>
          <w:rFonts w:ascii="Arial" w:eastAsia="Calibri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ekonomske</w:t>
      </w:r>
      <w:r w:rsidRPr="009F6E19">
        <w:rPr>
          <w:rFonts w:ascii="Arial" w:eastAsia="Calibri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nauke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 </w:t>
      </w:r>
    </w:p>
    <w:p w:rsidR="009F6E19" w:rsidRPr="009F6E19" w:rsidRDefault="009F6E19" w:rsidP="009F6E1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Upitnik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Evropskog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parlamenta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: 2345 / </w:t>
      </w:r>
      <w:r w:rsidRPr="009F6E19">
        <w:rPr>
          <w:rFonts w:ascii="Arial" w:hAnsi="Arial" w:cs="Arial"/>
          <w:sz w:val="20"/>
          <w:szCs w:val="20"/>
          <w:lang w:val="sr-Cyrl-CS"/>
        </w:rPr>
        <w:t>09.2013.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F6E1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temu</w:t>
      </w:r>
      <w:r w:rsidRPr="009F6E19">
        <w:rPr>
          <w:rFonts w:ascii="Arial" w:hAnsi="Arial" w:cs="Arial"/>
          <w:sz w:val="20"/>
          <w:szCs w:val="20"/>
          <w:lang w:val="sr-Cyrl-CS"/>
        </w:rPr>
        <w:t>:</w:t>
      </w:r>
      <w:r w:rsidRPr="009F6E19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Istraživanje</w:t>
      </w:r>
      <w:r w:rsidRPr="009F6E19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siromaštva</w:t>
      </w:r>
      <w:r w:rsidRPr="009F6E19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dece</w:t>
      </w:r>
      <w:r w:rsidRPr="009F6E19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u</w:t>
      </w:r>
      <w:r w:rsidRPr="009F6E19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Evropi</w:t>
      </w:r>
      <w:r w:rsidRPr="009F6E19">
        <w:rPr>
          <w:i/>
          <w:sz w:val="20"/>
          <w:szCs w:val="20"/>
          <w:lang w:val="sr-Cyrl-CS"/>
        </w:rPr>
        <w:t xml:space="preserve">  - </w:t>
      </w:r>
      <w:hyperlink r:id="rId11" w:history="1"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Survey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sr-Cyrl-CS"/>
          </w:rPr>
          <w:t xml:space="preserve"> 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on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sr-Cyrl-CS"/>
          </w:rPr>
          <w:t xml:space="preserve"> 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child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sr-Cyrl-CS"/>
          </w:rPr>
          <w:t xml:space="preserve"> 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poverty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sr-Cyrl-CS"/>
          </w:rPr>
          <w:t xml:space="preserve"> 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in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sr-Cyrl-CS"/>
          </w:rPr>
          <w:t xml:space="preserve"> </w:t>
        </w:r>
        <w:r w:rsidRPr="009F6E1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Europe</w:t>
        </w:r>
      </w:hyperlink>
      <w:r w:rsidRPr="009F6E19">
        <w:rPr>
          <w:rFonts w:ascii="Arial" w:eastAsia="Times New Roman" w:hAnsi="Arial" w:cs="Arial"/>
          <w:i/>
          <w:sz w:val="20"/>
          <w:szCs w:val="20"/>
          <w:lang w:val="sr-Cyrl-CS"/>
        </w:rPr>
        <w:t xml:space="preserve"> </w:t>
      </w:r>
    </w:p>
    <w:p w:rsidR="009F6E19" w:rsidRPr="009F6E19" w:rsidRDefault="009F6E19" w:rsidP="009F6E19">
      <w:pPr>
        <w:numPr>
          <w:ilvl w:val="0"/>
          <w:numId w:val="3"/>
        </w:numPr>
        <w:shd w:val="clear" w:color="auto" w:fill="FFFFFF" w:themeFill="background1"/>
        <w:spacing w:after="0" w:line="360" w:lineRule="auto"/>
        <w:contextualSpacing/>
        <w:jc w:val="both"/>
        <w:textAlignment w:val="top"/>
        <w:rPr>
          <w:rFonts w:ascii="Arial" w:eastAsia="Calibri" w:hAnsi="Arial" w:cs="Arial"/>
          <w:i/>
          <w:sz w:val="20"/>
          <w:szCs w:val="20"/>
          <w:lang w:val="sr-Cyrl-CS"/>
        </w:rPr>
      </w:pPr>
      <w:r>
        <w:rPr>
          <w:rFonts w:ascii="Arial" w:eastAsia="Calibri" w:hAnsi="Arial" w:cs="Arial"/>
          <w:bCs/>
          <w:sz w:val="20"/>
          <w:szCs w:val="20"/>
          <w:lang w:val="sr-Cyrl-CS"/>
        </w:rPr>
        <w:t>Fondacija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CS"/>
        </w:rPr>
        <w:t>za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CS"/>
        </w:rPr>
        <w:t>razvoj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CS"/>
        </w:rPr>
        <w:t>ekonomske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Cyrl-CS"/>
        </w:rPr>
        <w:t>nauke</w:t>
      </w:r>
      <w:r w:rsidRPr="009F6E19">
        <w:rPr>
          <w:rFonts w:ascii="Arial" w:eastAsia="Calibri" w:hAnsi="Arial" w:cs="Arial"/>
          <w:bCs/>
          <w:sz w:val="20"/>
          <w:szCs w:val="20"/>
          <w:lang w:val="sr-Cyrl-CS"/>
        </w:rPr>
        <w:t xml:space="preserve">, </w:t>
      </w:r>
      <w:r w:rsidRPr="009F6E19">
        <w:rPr>
          <w:rFonts w:ascii="Arial" w:eastAsia="Calibri" w:hAnsi="Arial" w:cs="Arial"/>
          <w:i/>
          <w:sz w:val="20"/>
          <w:szCs w:val="20"/>
        </w:rPr>
        <w:t>Quarterly monitor of economic trends and policies in Serbia, Issue 32. 01-03. 2013,</w:t>
      </w: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:rsidR="009F6E19" w:rsidRPr="009F6E19" w:rsidRDefault="009F6E19" w:rsidP="009F6E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</w:p>
    <w:p w:rsidR="006E2083" w:rsidRDefault="006E2083"/>
    <w:sectPr w:rsidR="006E2083" w:rsidSect="00783DF6">
      <w:footerReference w:type="defaul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5D" w:rsidRDefault="00A56C5D" w:rsidP="009F6E19">
      <w:pPr>
        <w:spacing w:after="0" w:line="240" w:lineRule="auto"/>
      </w:pPr>
      <w:r>
        <w:separator/>
      </w:r>
    </w:p>
  </w:endnote>
  <w:endnote w:type="continuationSeparator" w:id="0">
    <w:p w:rsidR="00A56C5D" w:rsidRDefault="00A56C5D" w:rsidP="009F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F6" w:rsidRDefault="00783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5D" w:rsidRDefault="00A56C5D" w:rsidP="009F6E19">
      <w:pPr>
        <w:spacing w:after="0" w:line="240" w:lineRule="auto"/>
      </w:pPr>
      <w:r>
        <w:separator/>
      </w:r>
    </w:p>
  </w:footnote>
  <w:footnote w:type="continuationSeparator" w:id="0">
    <w:p w:rsidR="00A56C5D" w:rsidRDefault="00A56C5D" w:rsidP="009F6E19">
      <w:pPr>
        <w:spacing w:after="0" w:line="240" w:lineRule="auto"/>
      </w:pPr>
      <w:r>
        <w:continuationSeparator/>
      </w:r>
    </w:p>
  </w:footnote>
  <w:footnote w:id="1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</w:rPr>
        <w:t xml:space="preserve"> </w:t>
      </w:r>
      <w:r w:rsidRPr="009F6E19">
        <w:rPr>
          <w:rStyle w:val="mw-headline"/>
          <w:rFonts w:ascii="Arial" w:hAnsi="Arial" w:cs="Arial"/>
          <w:i/>
          <w:sz w:val="18"/>
          <w:szCs w:val="18"/>
          <w:lang w:val="bs-Latn-BA"/>
        </w:rPr>
        <w:t>Unemployment rate 2001-2012 (Eurostat, online data, 2013.)</w:t>
      </w:r>
    </w:p>
  </w:footnote>
  <w:footnote w:id="2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F6E19">
        <w:rPr>
          <w:rFonts w:ascii="Arial" w:hAnsi="Arial" w:cs="Arial"/>
          <w:sz w:val="18"/>
          <w:szCs w:val="18"/>
          <w:lang w:val="bs-Latn-BA"/>
        </w:rPr>
        <w:t>Prikaz osnovnih makroekonomskih pokazatelja u RS u 2012 godini, broj 1/13, februar 2013.,str. 2.</w:t>
      </w:r>
    </w:p>
  </w:footnote>
  <w:footnote w:id="3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9F6E19">
        <w:rPr>
          <w:rStyle w:val="FootnoteReference"/>
          <w:rFonts w:ascii="Arial" w:hAnsi="Arial" w:cs="Arial"/>
          <w:sz w:val="18"/>
          <w:szCs w:val="18"/>
        </w:rPr>
        <w:footnoteRef/>
      </w:r>
      <w:r w:rsidRPr="009F6E19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1" w:history="1">
        <w:r w:rsidRPr="009F6E19">
          <w:rPr>
            <w:rStyle w:val="Hyperlink"/>
            <w:rFonts w:ascii="Arial" w:hAnsi="Arial" w:cs="Arial"/>
            <w:sz w:val="18"/>
            <w:szCs w:val="18"/>
            <w:lang w:val="bs-Latn-BA"/>
          </w:rPr>
          <w:t>http://bif.rs/2013/10/najveci-broj-dugorocno-nezaposlenih-u-zemljama-oecd-od-izbijanja-krize/</w:t>
        </w:r>
      </w:hyperlink>
    </w:p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9F6E19">
        <w:rPr>
          <w:rFonts w:ascii="Arial" w:hAnsi="Arial" w:cs="Arial"/>
          <w:sz w:val="18"/>
          <w:szCs w:val="18"/>
          <w:lang w:val="bs-Latn-BA"/>
        </w:rPr>
        <w:t>Samo nekoliko zemalja je zabeležilo opadajuću dugoročnu nezaposlenost od početka krize. U Belgiji, Holandiji i Poljskoj je njihovo učešće opalo za manje od 10%. U Češkoj i Nemačkoj je zabeležen pad trajne nezaposlenosti za više od 10%, ali dugoročno nezaposleni i dalje čine gotovo polovinu svih nezaposlenih u tim zemljama, sa 44,4 % i 45,0%. Druge zemlje sa visokom stopom dugoročne nezaposlenosti uključuju Belgiju (46,3%) , Grčku (65,5%), Mađarsku (47,1%), Irsku ( 59,0%), Italiju (56,4%), Poljsku (42,1%), Portugal (56,1%), Slovačku (70,7%), Sloveniju (49,6%) i Španiju (49,3%).</w:t>
      </w:r>
    </w:p>
  </w:footnote>
  <w:footnote w:id="4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lang w:val="sr-Cyrl-CS"/>
        </w:rPr>
        <w:t xml:space="preserve"> </w:t>
      </w:r>
      <w:r w:rsidRPr="009F6E19">
        <w:rPr>
          <w:rFonts w:ascii="Arial" w:hAnsi="Arial" w:cs="Arial"/>
          <w:sz w:val="18"/>
          <w:szCs w:val="18"/>
          <w:lang w:val="bs-Latn-BA"/>
        </w:rPr>
        <w:t xml:space="preserve">Internet adresa:  </w:t>
      </w:r>
      <w:hyperlink r:id="rId2" w:history="1">
        <w:r w:rsidRPr="009F6E19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http://www.fren.org.rs/sites/default/files/Procena_uticaja_politika_u_oblasti_zapošljavanja.pdf</w:t>
        </w:r>
      </w:hyperlink>
    </w:p>
  </w:footnote>
  <w:footnote w:id="5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9F6E1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9F6E19">
        <w:rPr>
          <w:rFonts w:ascii="Arial" w:hAnsi="Arial" w:cs="Arial"/>
          <w:sz w:val="18"/>
          <w:szCs w:val="18"/>
          <w:lang w:val="bs-Latn-BA"/>
        </w:rPr>
        <w:t xml:space="preserve"> Anketa o radnoj snazi, april2013.</w:t>
      </w:r>
    </w:p>
  </w:footnote>
  <w:footnote w:id="6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9F6E1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9F6E19">
        <w:rPr>
          <w:rFonts w:ascii="Arial" w:hAnsi="Arial" w:cs="Arial"/>
          <w:sz w:val="18"/>
          <w:szCs w:val="18"/>
          <w:lang w:val="bs-Latn-BA"/>
        </w:rPr>
        <w:t xml:space="preserve"> Republički zavod za statistiku, Anketa o radnoj snazi, oktobar 2012.</w:t>
      </w:r>
    </w:p>
    <w:p w:rsidR="00783DF6" w:rsidRPr="009F6E19" w:rsidRDefault="00A56C5D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hyperlink r:id="rId3" w:history="1">
        <w:r w:rsidR="00783DF6" w:rsidRPr="009F6E19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http://www.sindikat.rs/ekonomija_files/statistika/Osnovni%20podaci_1_2013.pdf</w:t>
        </w:r>
      </w:hyperlink>
    </w:p>
  </w:footnote>
  <w:footnote w:id="7">
    <w:p w:rsidR="00783DF6" w:rsidRPr="009F6E19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9F6E1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9F6E19">
        <w:rPr>
          <w:rFonts w:ascii="Arial" w:hAnsi="Arial" w:cs="Arial"/>
          <w:sz w:val="18"/>
          <w:szCs w:val="18"/>
          <w:lang w:val="bs-Latn-BA"/>
        </w:rPr>
        <w:t xml:space="preserve"> Prema podacima Ankete mladih starosti od 15 do 29 godina, samo 1% mladih koji su bili na školovanju je tražilo posao 2009. godine (Krstić, 2010).</w:t>
      </w:r>
    </w:p>
  </w:footnote>
  <w:footnote w:id="8">
    <w:p w:rsidR="00783DF6" w:rsidRPr="00783DF6" w:rsidRDefault="00783DF6" w:rsidP="00783DF6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83DF6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83DF6">
        <w:rPr>
          <w:rFonts w:ascii="Arial" w:hAnsi="Arial" w:cs="Arial"/>
          <w:sz w:val="18"/>
          <w:szCs w:val="18"/>
          <w:lang w:val="bs-Latn-BA"/>
        </w:rPr>
        <w:t xml:space="preserve"> Prema: Grafikon 3.3.2. Sektorska struktura zaposlenosti 2010. </w:t>
      </w:r>
      <w:r w:rsidRPr="00783DF6">
        <w:rPr>
          <w:rFonts w:ascii="Arial" w:hAnsi="Arial" w:cs="Arial"/>
          <w:sz w:val="18"/>
          <w:szCs w:val="18"/>
          <w:lang w:val="bs-Latn-BA"/>
        </w:rPr>
        <w:t xml:space="preserve">godine u Srbiji </w:t>
      </w:r>
      <w:hyperlink r:id="rId4" w:history="1">
        <w:r w:rsidRPr="00783DF6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http://www.fren.org.rs/sites/default/files/Procena_uticaja_politika_u_oblasti_zapošljavanja.pdf</w:t>
        </w:r>
      </w:hyperlink>
    </w:p>
  </w:footnote>
  <w:footnote w:id="9">
    <w:p w:rsidR="00783DF6" w:rsidRPr="00783DF6" w:rsidRDefault="00783DF6" w:rsidP="00783DF6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83DF6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83DF6">
        <w:rPr>
          <w:rFonts w:ascii="Arial" w:hAnsi="Arial" w:cs="Arial"/>
          <w:sz w:val="18"/>
          <w:szCs w:val="18"/>
          <w:lang w:val="bs-Latn-BA"/>
        </w:rPr>
        <w:t xml:space="preserve"> Prema: Krstić i dr. (2010) „Položaj ranjivih grupa na tržištu rada Srbije”.</w:t>
      </w:r>
    </w:p>
  </w:footnote>
  <w:footnote w:id="10">
    <w:p w:rsidR="00783DF6" w:rsidRPr="00783DF6" w:rsidRDefault="00783DF6" w:rsidP="00783DF6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83DF6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83DF6">
        <w:rPr>
          <w:rFonts w:ascii="Arial" w:hAnsi="Arial" w:cs="Arial"/>
          <w:sz w:val="18"/>
          <w:szCs w:val="18"/>
          <w:lang w:val="bs-Latn-BA"/>
        </w:rPr>
        <w:t>Projekcije za odraslo stanovništvo, Tabela 3.2.1. Osnovni pokazatelji tržišta rada odraslog stanovništva (15+) u hiljadama, str.44</w:t>
      </w:r>
    </w:p>
  </w:footnote>
  <w:footnote w:id="11">
    <w:p w:rsidR="00783DF6" w:rsidRPr="00783DF6" w:rsidRDefault="00783DF6" w:rsidP="009F6E19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575EF9">
        <w:rPr>
          <w:rStyle w:val="FootnoteReference"/>
          <w:rFonts w:ascii="Arial" w:hAnsi="Arial" w:cs="Arial"/>
          <w:sz w:val="16"/>
          <w:szCs w:val="16"/>
          <w:lang w:val="sr-Cyrl-CS"/>
        </w:rPr>
        <w:footnoteRef/>
      </w:r>
      <w:r w:rsidRPr="00575EF9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783DF6">
        <w:rPr>
          <w:rFonts w:ascii="Arial" w:hAnsi="Arial" w:cs="Arial"/>
          <w:sz w:val="18"/>
          <w:szCs w:val="18"/>
          <w:lang w:val="bs-Latn-BA"/>
        </w:rPr>
        <w:t>Isto</w:t>
      </w:r>
    </w:p>
  </w:footnote>
  <w:footnote w:id="12">
    <w:p w:rsidR="00783DF6" w:rsidRPr="00783DF6" w:rsidRDefault="00783DF6" w:rsidP="009F6E19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783DF6">
        <w:rPr>
          <w:rStyle w:val="FootnoteReference"/>
          <w:rFonts w:ascii="Arial" w:hAnsi="Arial" w:cs="Arial"/>
          <w:sz w:val="18"/>
          <w:szCs w:val="18"/>
        </w:rPr>
        <w:footnoteRef/>
      </w:r>
      <w:r w:rsidRPr="00783DF6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83DF6">
        <w:rPr>
          <w:rFonts w:ascii="Arial" w:hAnsi="Arial" w:cs="Arial"/>
          <w:sz w:val="18"/>
          <w:szCs w:val="18"/>
          <w:lang w:val="bs-Latn-BA"/>
        </w:rPr>
        <w:t>Izveštaj o radu Nacionalne službe za zapošljavanje za 2011, prema: „Socijalna sigurnost u Srbiji nakon 2000.“</w:t>
      </w:r>
    </w:p>
  </w:footnote>
  <w:footnote w:id="13">
    <w:p w:rsidR="00783DF6" w:rsidRPr="00783DF6" w:rsidRDefault="00783DF6" w:rsidP="009F6E1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bs-Latn-BA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83DF6">
        <w:rPr>
          <w:rFonts w:ascii="Arial" w:hAnsi="Arial" w:cs="Arial"/>
          <w:sz w:val="18"/>
          <w:szCs w:val="18"/>
          <w:lang w:val="bs-Latn-BA"/>
        </w:rPr>
        <w:t>Milenijumsku deklaracija 2000., u kojoj su navedene osnovne vrednosti vazane za međunarodne odnose u 21. veku: sloboda, jednakost, solidarnost, tol</w:t>
      </w:r>
      <w:r>
        <w:rPr>
          <w:rFonts w:ascii="Arial" w:hAnsi="Arial" w:cs="Arial"/>
          <w:sz w:val="18"/>
          <w:szCs w:val="18"/>
          <w:lang w:val="bs-Latn-BA"/>
        </w:rPr>
        <w:t>erancija, podela odgovornosti.</w:t>
      </w:r>
    </w:p>
  </w:footnote>
  <w:footnote w:id="14">
    <w:p w:rsidR="00783DF6" w:rsidRPr="00783DF6" w:rsidRDefault="00783DF6" w:rsidP="009F6E19">
      <w:pPr>
        <w:pStyle w:val="NoSpacing"/>
        <w:rPr>
          <w:rFonts w:ascii="Arial" w:hAnsi="Arial" w:cs="Arial"/>
          <w:sz w:val="18"/>
          <w:szCs w:val="18"/>
          <w:lang w:val="fr-BE"/>
        </w:rPr>
      </w:pPr>
      <w:r>
        <w:rPr>
          <w:rStyle w:val="FootnoteReference"/>
        </w:rPr>
        <w:footnoteRef/>
      </w:r>
      <w:r w:rsidRPr="00064CEC">
        <w:rPr>
          <w:lang w:val="sr-Cyrl-CS"/>
        </w:rPr>
        <w:t xml:space="preserve"> </w:t>
      </w:r>
      <w:r w:rsidRPr="00783DF6">
        <w:rPr>
          <w:rFonts w:ascii="Arial" w:hAnsi="Arial" w:cs="Arial"/>
          <w:sz w:val="18"/>
          <w:szCs w:val="18"/>
          <w:lang w:val="fr-BE"/>
        </w:rPr>
        <w:t>Kao podsticajne mere su pokrenuti programi javnih radova i subvencionisanog zapošljavanja</w:t>
      </w:r>
      <w:r>
        <w:rPr>
          <w:rFonts w:ascii="Arial" w:hAnsi="Arial" w:cs="Arial"/>
          <w:sz w:val="18"/>
          <w:szCs w:val="18"/>
          <w:lang w:val="fr-BE"/>
        </w:rPr>
        <w:t>.</w:t>
      </w:r>
    </w:p>
  </w:footnote>
  <w:footnote w:id="15">
    <w:p w:rsidR="00783DF6" w:rsidRPr="00783DF6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83DF6">
        <w:rPr>
          <w:rFonts w:ascii="Arial" w:hAnsi="Arial" w:cs="Arial"/>
          <w:sz w:val="18"/>
          <w:szCs w:val="18"/>
        </w:rPr>
        <w:t xml:space="preserve"> </w:t>
      </w:r>
      <w:r w:rsidR="00674804">
        <w:rPr>
          <w:rFonts w:ascii="Arial" w:hAnsi="Arial" w:cs="Arial"/>
          <w:sz w:val="18"/>
          <w:szCs w:val="18"/>
          <w:lang w:val="bs-Latn-BA"/>
        </w:rPr>
        <w:t>Informacija Minist</w:t>
      </w:r>
      <w:r w:rsidR="00674804">
        <w:rPr>
          <w:rFonts w:ascii="Arial" w:hAnsi="Arial" w:cs="Arial"/>
          <w:sz w:val="18"/>
          <w:szCs w:val="18"/>
          <w:lang w:val="sr-Latn-RS"/>
        </w:rPr>
        <w:t>arstva</w:t>
      </w:r>
      <w:r w:rsidRPr="00783DF6">
        <w:rPr>
          <w:rFonts w:ascii="Arial" w:hAnsi="Arial" w:cs="Arial"/>
          <w:sz w:val="18"/>
          <w:szCs w:val="18"/>
          <w:lang w:val="bs-Latn-BA"/>
        </w:rPr>
        <w:t xml:space="preserve"> omladine i sporta RS, novembar 2013. </w:t>
      </w:r>
      <w:hyperlink r:id="rId5" w:history="1">
        <w:r w:rsidRPr="00783DF6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http://www.mos.gov.rs/документа/спорт.212.html#</w:t>
        </w:r>
      </w:hyperlink>
    </w:p>
  </w:footnote>
  <w:footnote w:id="16">
    <w:p w:rsidR="00783DF6" w:rsidRPr="00783DF6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83DF6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83DF6">
        <w:rPr>
          <w:rFonts w:ascii="Arial" w:hAnsi="Arial" w:cs="Arial"/>
          <w:sz w:val="18"/>
          <w:szCs w:val="18"/>
          <w:lang w:val="bs-Latn-BA"/>
        </w:rPr>
        <w:t xml:space="preserve"> Zakon o socijalnoj zaštiti, Službeni glasnik RS, broj 24/2011.</w:t>
      </w:r>
    </w:p>
  </w:footnote>
  <w:footnote w:id="17">
    <w:p w:rsidR="00783DF6" w:rsidRPr="00783DF6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83DF6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83DF6">
        <w:rPr>
          <w:rFonts w:ascii="Arial" w:hAnsi="Arial" w:cs="Arial"/>
          <w:sz w:val="18"/>
          <w:szCs w:val="18"/>
          <w:lang w:val="bs-Latn-BA"/>
        </w:rPr>
        <w:t xml:space="preserve"> Prezentacija studije o socijalnoj politici Srbije: „Socijalna sigurnost u Srbiji nakon 2000.“</w:t>
      </w:r>
    </w:p>
  </w:footnote>
  <w:footnote w:id="18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5659C">
        <w:rPr>
          <w:rFonts w:ascii="Arial" w:hAnsi="Arial" w:cs="Arial"/>
          <w:sz w:val="18"/>
          <w:szCs w:val="18"/>
          <w:lang w:val="bs-Latn-BA"/>
        </w:rPr>
        <w:t xml:space="preserve"> Definisana članom 86. Zakona: „Centar za socijalni rad i organizacija nadležna za poslove zapošljavanja dužni su da međusobno sarađuju u sprovođenju mera socijalne uključenosti radno sposobnih korisnika prava na novčanu socijalnu pomoć, a način saradnje propisuju sporazumno ministar nadležan za socijalnu zaštitu i ministar nadležan za zapošljavanje“.</w:t>
      </w:r>
    </w:p>
  </w:footnote>
  <w:footnote w:id="19">
    <w:p w:rsidR="00783DF6" w:rsidRPr="0075659C" w:rsidRDefault="00783DF6" w:rsidP="009F6E19">
      <w:pPr>
        <w:pStyle w:val="NoSpacing"/>
        <w:rPr>
          <w:rFonts w:ascii="Arial" w:hAnsi="Arial" w:cs="Arial"/>
          <w:b/>
          <w:bCs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5659C">
        <w:rPr>
          <w:rFonts w:ascii="Arial" w:hAnsi="Arial" w:cs="Arial"/>
          <w:sz w:val="18"/>
          <w:szCs w:val="18"/>
          <w:lang w:val="bs-Latn-BA"/>
        </w:rPr>
        <w:t xml:space="preserve"> Položaj dece u Srbiji, Prezentacija studije „Socijalna sigurnost u Srbiji nakon 2000.“</w:t>
      </w:r>
    </w:p>
  </w:footnote>
  <w:footnote w:id="20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5659C">
        <w:rPr>
          <w:rFonts w:ascii="Arial" w:hAnsi="Arial" w:cs="Arial"/>
          <w:sz w:val="18"/>
          <w:szCs w:val="18"/>
          <w:lang w:val="bs-Latn-BA"/>
        </w:rPr>
        <w:t xml:space="preserve"> Informacija (oktobar 2013.), Ministarstvo za rad i socijalnu politiku RS</w:t>
      </w:r>
    </w:p>
  </w:footnote>
  <w:footnote w:id="21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hyperlink r:id="rId6" w:history="1">
        <w:r w:rsidRPr="0075659C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http://www.minrzs.gov.rs/doc/porodica/strategije/Nacionalni%20plan%20akcije%20za%20decu.pdf</w:t>
        </w:r>
      </w:hyperlink>
    </w:p>
  </w:footnote>
  <w:footnote w:id="22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="0075659C" w:rsidRPr="0075659C">
        <w:rPr>
          <w:rFonts w:ascii="Arial" w:hAnsi="Arial" w:cs="Arial"/>
          <w:sz w:val="18"/>
          <w:szCs w:val="18"/>
          <w:lang w:val="bs-Latn-BA"/>
        </w:rPr>
        <w:t xml:space="preserve"> Od 2005. Pododbor za prava deteta u okviru Odbora za rodnu ravnopravnost Narodne skupštine</w:t>
      </w:r>
    </w:p>
  </w:footnote>
  <w:footnote w:id="23">
    <w:p w:rsidR="00783DF6" w:rsidRPr="007B2AA9" w:rsidRDefault="00783DF6" w:rsidP="009F6E19">
      <w:pPr>
        <w:pStyle w:val="NoSpacing"/>
        <w:rPr>
          <w:rFonts w:ascii="Arial" w:eastAsia="MS Mincho" w:hAnsi="Arial" w:cs="Arial"/>
          <w:b/>
          <w:bCs/>
          <w:iCs/>
          <w:sz w:val="18"/>
          <w:szCs w:val="18"/>
          <w:lang w:val="bs-Latn-BA" w:eastAsia="ja-JP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="0075659C" w:rsidRPr="0075659C">
        <w:rPr>
          <w:rFonts w:ascii="Arial" w:hAnsi="Arial" w:cs="Arial"/>
          <w:sz w:val="18"/>
          <w:szCs w:val="18"/>
          <w:lang w:val="bs-Latn-BA"/>
        </w:rPr>
        <w:t xml:space="preserve"> </w:t>
      </w:r>
      <w:r w:rsidR="0075659C" w:rsidRPr="0075659C">
        <w:rPr>
          <w:rFonts w:ascii="Arial" w:hAnsi="Arial" w:cs="Arial"/>
          <w:sz w:val="18"/>
          <w:szCs w:val="18"/>
          <w:lang w:val="bs-Latn-BA"/>
        </w:rPr>
        <w:t>Dostupno na adresi</w:t>
      </w:r>
      <w:r w:rsidRPr="0075659C">
        <w:rPr>
          <w:rFonts w:ascii="Arial" w:hAnsi="Arial" w:cs="Arial"/>
          <w:sz w:val="18"/>
          <w:szCs w:val="18"/>
          <w:lang w:val="bs-Latn-BA"/>
        </w:rPr>
        <w:t xml:space="preserve">: </w:t>
      </w:r>
      <w:hyperlink r:id="rId7" w:history="1">
        <w:r w:rsidRPr="0075659C">
          <w:rPr>
            <w:rStyle w:val="Hyperlink"/>
            <w:rFonts w:ascii="Arial" w:hAnsi="Arial" w:cs="Arial"/>
            <w:sz w:val="18"/>
            <w:szCs w:val="18"/>
            <w:lang w:val="bs-Latn-BA"/>
          </w:rPr>
          <w:t>www.ombudsman.rs/attachments/</w:t>
        </w:r>
        <w:r w:rsidRPr="0075659C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Nacrt</w:t>
        </w:r>
        <w:r w:rsidRPr="0075659C">
          <w:rPr>
            <w:rStyle w:val="Hyperlink"/>
            <w:rFonts w:ascii="Arial" w:hAnsi="Arial" w:cs="Arial"/>
            <w:sz w:val="18"/>
            <w:szCs w:val="18"/>
            <w:lang w:val="bs-Latn-BA"/>
          </w:rPr>
          <w:t>%2009.11.11..doc</w:t>
        </w:r>
      </w:hyperlink>
      <w:r w:rsidRPr="007B2AA9">
        <w:rPr>
          <w:rStyle w:val="HTMLCite"/>
          <w:rFonts w:ascii="Arial" w:hAnsi="Arial" w:cs="Arial"/>
          <w:sz w:val="18"/>
          <w:szCs w:val="18"/>
          <w:lang w:val="bs-Latn-BA"/>
        </w:rPr>
        <w:t>;</w:t>
      </w:r>
    </w:p>
  </w:footnote>
  <w:footnote w:id="24">
    <w:p w:rsidR="00783DF6" w:rsidRPr="00BC7F87" w:rsidRDefault="00783DF6" w:rsidP="009F6E19">
      <w:pPr>
        <w:rPr>
          <w:rFonts w:ascii="Arial" w:hAnsi="Arial" w:cs="Arial"/>
          <w:i/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BC7F87">
        <w:rPr>
          <w:rFonts w:ascii="Arial" w:hAnsi="Arial" w:cs="Arial"/>
          <w:i/>
          <w:sz w:val="18"/>
          <w:szCs w:val="18"/>
        </w:rPr>
        <w:t>Rate of poverty in age groups (%)</w:t>
      </w:r>
      <w:r w:rsidRPr="00BC7F87">
        <w:rPr>
          <w:rFonts w:ascii="Arial" w:hAnsi="Arial" w:cs="Arial"/>
          <w:i/>
          <w:sz w:val="18"/>
          <w:szCs w:val="18"/>
          <w:lang w:val="sr-Cyrl-CS"/>
        </w:rPr>
        <w:t xml:space="preserve">: </w:t>
      </w:r>
      <w:r w:rsidRPr="00BC7F87">
        <w:rPr>
          <w:rFonts w:ascii="Arial" w:hAnsi="Arial" w:cs="Arial"/>
          <w:i/>
          <w:sz w:val="18"/>
          <w:szCs w:val="18"/>
        </w:rPr>
        <w:t>Hungarian Central Statistical Office</w:t>
      </w:r>
    </w:p>
  </w:footnote>
  <w:footnote w:id="25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lang w:val="sr-Cyrl-CS"/>
        </w:rPr>
        <w:t xml:space="preserve"> </w:t>
      </w:r>
      <w:r w:rsidR="0075659C" w:rsidRPr="0075659C">
        <w:rPr>
          <w:rFonts w:ascii="Arial" w:hAnsi="Arial" w:cs="Arial"/>
          <w:sz w:val="18"/>
          <w:szCs w:val="18"/>
        </w:rPr>
        <w:t>Odgovor</w:t>
      </w:r>
      <w:r w:rsidR="0075659C" w:rsidRPr="0075659C">
        <w:rPr>
          <w:rFonts w:ascii="Arial" w:hAnsi="Arial" w:cs="Arial"/>
          <w:sz w:val="18"/>
          <w:szCs w:val="18"/>
          <w:lang w:val="sr-Cyrl-CS"/>
        </w:rPr>
        <w:t xml:space="preserve"> </w:t>
      </w:r>
      <w:r w:rsidR="0075659C" w:rsidRPr="0075659C">
        <w:rPr>
          <w:rFonts w:ascii="Arial" w:hAnsi="Arial" w:cs="Arial"/>
          <w:sz w:val="18"/>
          <w:szCs w:val="18"/>
        </w:rPr>
        <w:t>Parlamenta</w:t>
      </w:r>
      <w:r w:rsidR="0075659C" w:rsidRPr="0075659C">
        <w:rPr>
          <w:rFonts w:ascii="Arial" w:hAnsi="Arial" w:cs="Arial"/>
          <w:sz w:val="18"/>
          <w:szCs w:val="18"/>
          <w:lang w:val="sr-Cyrl-CS"/>
        </w:rPr>
        <w:t xml:space="preserve"> </w:t>
      </w:r>
      <w:r w:rsidR="0075659C" w:rsidRPr="0075659C">
        <w:rPr>
          <w:rFonts w:ascii="Arial" w:hAnsi="Arial" w:cs="Arial"/>
          <w:sz w:val="18"/>
          <w:szCs w:val="18"/>
        </w:rPr>
        <w:t>Ma</w:t>
      </w:r>
      <w:r w:rsidR="0075659C" w:rsidRPr="0075659C">
        <w:rPr>
          <w:rFonts w:ascii="Arial" w:hAnsi="Arial" w:cs="Arial"/>
          <w:sz w:val="18"/>
          <w:szCs w:val="18"/>
          <w:lang w:val="sr-Cyrl-CS"/>
        </w:rPr>
        <w:t>đ</w:t>
      </w:r>
      <w:r w:rsidR="0075659C" w:rsidRPr="0075659C">
        <w:rPr>
          <w:rFonts w:ascii="Arial" w:hAnsi="Arial" w:cs="Arial"/>
          <w:sz w:val="18"/>
          <w:szCs w:val="18"/>
        </w:rPr>
        <w:t>arske</w:t>
      </w:r>
      <w:r w:rsidRPr="0075659C">
        <w:rPr>
          <w:rFonts w:ascii="Arial" w:hAnsi="Arial" w:cs="Arial"/>
          <w:sz w:val="18"/>
          <w:szCs w:val="18"/>
          <w:lang w:val="sr-Cyrl-CS"/>
        </w:rPr>
        <w:t xml:space="preserve">;  </w:t>
      </w:r>
      <w:hyperlink r:id="rId8" w:history="1"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Survey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sr-Cyrl-CS"/>
          </w:rPr>
          <w:t xml:space="preserve"> 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on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sr-Cyrl-CS"/>
          </w:rPr>
          <w:t xml:space="preserve"> 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child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sr-Cyrl-CS"/>
          </w:rPr>
          <w:t xml:space="preserve"> 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poverty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sr-Cyrl-CS"/>
          </w:rPr>
          <w:t xml:space="preserve"> 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in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sr-Cyrl-CS"/>
          </w:rPr>
          <w:t xml:space="preserve"> </w:t>
        </w:r>
        <w:r w:rsidRPr="0075659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Europe</w:t>
        </w:r>
      </w:hyperlink>
      <w:r w:rsidR="0075659C" w:rsidRPr="0075659C">
        <w:rPr>
          <w:rFonts w:ascii="Arial" w:eastAsia="Times New Roman" w:hAnsi="Arial" w:cs="Arial"/>
          <w:sz w:val="18"/>
          <w:szCs w:val="18"/>
          <w:lang w:val="sr-Cyrl-CS"/>
        </w:rPr>
        <w:t xml:space="preserve"> , </w:t>
      </w:r>
      <w:r w:rsidR="0075659C" w:rsidRPr="0075659C">
        <w:rPr>
          <w:rFonts w:ascii="Arial" w:hAnsi="Arial" w:cs="Arial"/>
          <w:sz w:val="18"/>
          <w:szCs w:val="18"/>
        </w:rPr>
        <w:t xml:space="preserve">Prema: Centralni zavod za statistiku Mađarske </w:t>
      </w:r>
    </w:p>
  </w:footnote>
  <w:footnote w:id="26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75659C">
        <w:rPr>
          <w:rStyle w:val="FootnoteReference"/>
          <w:rFonts w:ascii="Arial" w:hAnsi="Arial" w:cs="Arial"/>
          <w:sz w:val="18"/>
          <w:szCs w:val="18"/>
        </w:rPr>
        <w:footnoteRef/>
      </w:r>
      <w:r w:rsidRPr="0075659C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9" w:history="1">
        <w:r w:rsidRPr="0075659C">
          <w:rPr>
            <w:rStyle w:val="Hyperlink"/>
            <w:rFonts w:ascii="Arial" w:hAnsi="Arial" w:cs="Arial"/>
            <w:sz w:val="18"/>
            <w:szCs w:val="18"/>
          </w:rPr>
          <w:t>National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Social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Inclusion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Strategy</w:t>
        </w:r>
        <w:r w:rsidRPr="0075659C">
          <w:rPr>
            <w:rStyle w:val="Hyperlink"/>
            <w:rFonts w:ascii="Arial" w:hAnsi="Arial" w:cs="Arial"/>
            <w:b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–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Extreme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Poverty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,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Child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Poverty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,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The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</w:t>
        </w:r>
        <w:r w:rsidRPr="0075659C">
          <w:rPr>
            <w:rStyle w:val="Hyperlink"/>
            <w:rFonts w:ascii="Arial" w:hAnsi="Arial" w:cs="Arial"/>
            <w:sz w:val="18"/>
            <w:szCs w:val="18"/>
          </w:rPr>
          <w:t>Roma</w:t>
        </w:r>
        <w:r w:rsidRPr="0075659C">
          <w:rPr>
            <w:rStyle w:val="Hyperlink"/>
            <w:rFonts w:ascii="Arial" w:hAnsi="Arial" w:cs="Arial"/>
            <w:sz w:val="18"/>
            <w:szCs w:val="18"/>
            <w:lang w:val="sr-Cyrl-CS"/>
          </w:rPr>
          <w:t xml:space="preserve"> – (2011–2020)</w:t>
        </w:r>
      </w:hyperlink>
      <w:r w:rsidRPr="0075659C">
        <w:rPr>
          <w:rFonts w:ascii="Arial" w:hAnsi="Arial" w:cs="Arial"/>
          <w:sz w:val="18"/>
          <w:szCs w:val="18"/>
          <w:lang w:val="sr-Latn-RS"/>
        </w:rPr>
        <w:t xml:space="preserve"> </w:t>
      </w:r>
      <w:r w:rsidR="0075659C" w:rsidRPr="0075659C">
        <w:rPr>
          <w:rFonts w:ascii="Arial" w:hAnsi="Arial" w:cs="Arial"/>
          <w:color w:val="222222"/>
          <w:sz w:val="18"/>
          <w:szCs w:val="18"/>
          <w:lang w:val="sr-Latn-RS"/>
        </w:rPr>
        <w:t xml:space="preserve"> </w:t>
      </w:r>
      <w:r w:rsidR="0075659C" w:rsidRPr="0075659C">
        <w:rPr>
          <w:rFonts w:ascii="Arial" w:hAnsi="Arial" w:cs="Arial"/>
          <w:sz w:val="18"/>
          <w:szCs w:val="18"/>
        </w:rPr>
        <w:t>Nacionalna Strategija socijalnog uključivanja - ekstremno siromašnih, siromašne dece, Roma - (2011-2020).</w:t>
      </w:r>
    </w:p>
  </w:footnote>
  <w:footnote w:id="27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75659C">
        <w:rPr>
          <w:rStyle w:val="FootnoteReference"/>
          <w:rFonts w:ascii="Arial" w:hAnsi="Arial" w:cs="Arial"/>
          <w:sz w:val="18"/>
          <w:szCs w:val="18"/>
        </w:rPr>
        <w:footnoteRef/>
      </w:r>
      <w:r w:rsidRPr="0075659C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75659C">
          <w:rPr>
            <w:rStyle w:val="Hyperlink"/>
            <w:rFonts w:ascii="Arial" w:hAnsi="Arial" w:cs="Arial"/>
            <w:sz w:val="18"/>
            <w:szCs w:val="18"/>
          </w:rPr>
          <w:t>Action Plan</w:t>
        </w:r>
      </w:hyperlink>
      <w:r w:rsidRPr="0075659C">
        <w:rPr>
          <w:rFonts w:ascii="Arial" w:hAnsi="Arial" w:cs="Arial"/>
          <w:sz w:val="18"/>
          <w:szCs w:val="18"/>
        </w:rPr>
        <w:t xml:space="preserve"> </w:t>
      </w:r>
      <w:r w:rsidRPr="0075659C">
        <w:rPr>
          <w:rFonts w:ascii="Arial" w:hAnsi="Arial" w:cs="Arial"/>
          <w:i/>
          <w:sz w:val="18"/>
          <w:szCs w:val="18"/>
        </w:rPr>
        <w:t>(</w:t>
      </w:r>
      <w:r w:rsidRPr="0075659C">
        <w:rPr>
          <w:rFonts w:ascii="Arial" w:hAnsi="Arial" w:cs="Arial"/>
          <w:i/>
          <w:iCs/>
          <w:sz w:val="18"/>
          <w:szCs w:val="18"/>
        </w:rPr>
        <w:t>Annex to Government Resolution No. 1430/2011.</w:t>
      </w:r>
      <w:proofErr w:type="gramStart"/>
      <w:r w:rsidRPr="0075659C">
        <w:rPr>
          <w:rFonts w:ascii="Arial" w:hAnsi="Arial" w:cs="Arial"/>
          <w:i/>
          <w:iCs/>
          <w:sz w:val="18"/>
          <w:szCs w:val="18"/>
          <w:lang w:val="sr-Cyrl-CS"/>
        </w:rPr>
        <w:t>,</w:t>
      </w:r>
      <w:r w:rsidRPr="0075659C">
        <w:rPr>
          <w:rFonts w:ascii="Arial" w:hAnsi="Arial" w:cs="Arial"/>
          <w:i/>
          <w:iCs/>
          <w:sz w:val="18"/>
          <w:szCs w:val="18"/>
        </w:rPr>
        <w:t>XII</w:t>
      </w:r>
      <w:proofErr w:type="gramEnd"/>
      <w:r w:rsidRPr="0075659C">
        <w:rPr>
          <w:rFonts w:ascii="Arial" w:hAnsi="Arial" w:cs="Arial"/>
          <w:i/>
          <w:iCs/>
          <w:sz w:val="18"/>
          <w:szCs w:val="18"/>
        </w:rPr>
        <w:t>. 13</w:t>
      </w:r>
      <w:r w:rsidRPr="0075659C">
        <w:rPr>
          <w:rFonts w:ascii="Arial" w:hAnsi="Arial" w:cs="Arial"/>
          <w:i/>
          <w:iCs/>
          <w:sz w:val="18"/>
          <w:szCs w:val="18"/>
          <w:lang w:val="sr-Cyrl-CS"/>
        </w:rPr>
        <w:t>9</w:t>
      </w:r>
      <w:r w:rsidRPr="0075659C">
        <w:rPr>
          <w:rFonts w:ascii="Arial" w:hAnsi="Arial" w:cs="Arial"/>
          <w:i/>
          <w:iCs/>
          <w:sz w:val="18"/>
          <w:szCs w:val="18"/>
        </w:rPr>
        <w:t>.</w:t>
      </w:r>
    </w:p>
  </w:footnote>
  <w:footnote w:id="28">
    <w:p w:rsidR="00783DF6" w:rsidRPr="0075659C" w:rsidRDefault="00783DF6" w:rsidP="009F6E19">
      <w:pPr>
        <w:pStyle w:val="NoSpacing"/>
        <w:rPr>
          <w:rFonts w:ascii="Arial" w:eastAsia="Calibri" w:hAnsi="Arial" w:cs="Arial"/>
          <w:i/>
          <w:sz w:val="18"/>
          <w:szCs w:val="18"/>
          <w:lang w:val="sr-Cyrl-CS" w:eastAsia="hu-HU"/>
        </w:rPr>
      </w:pPr>
      <w:r w:rsidRPr="0075659C">
        <w:rPr>
          <w:rStyle w:val="FootnoteReference"/>
          <w:rFonts w:ascii="Arial" w:hAnsi="Arial" w:cs="Arial"/>
          <w:sz w:val="18"/>
          <w:szCs w:val="18"/>
        </w:rPr>
        <w:footnoteRef/>
      </w:r>
      <w:r w:rsidRPr="0075659C">
        <w:rPr>
          <w:rFonts w:ascii="Arial" w:hAnsi="Arial" w:cs="Arial"/>
          <w:sz w:val="18"/>
          <w:szCs w:val="18"/>
        </w:rPr>
        <w:t xml:space="preserve"> </w:t>
      </w:r>
      <w:r w:rsidRPr="0075659C">
        <w:rPr>
          <w:rFonts w:ascii="Arial" w:eastAsia="Calibri" w:hAnsi="Arial" w:cs="Arial"/>
          <w:i/>
          <w:sz w:val="18"/>
          <w:szCs w:val="18"/>
          <w:lang w:eastAsia="hu-HU"/>
        </w:rPr>
        <w:t xml:space="preserve">Children Health Program for 2013-2016 </w:t>
      </w:r>
    </w:p>
  </w:footnote>
  <w:footnote w:id="29">
    <w:p w:rsidR="00783DF6" w:rsidRPr="0075659C" w:rsidRDefault="00783DF6" w:rsidP="009F6E19">
      <w:pPr>
        <w:pStyle w:val="NoSpacing"/>
        <w:rPr>
          <w:rFonts w:ascii="Arial" w:hAnsi="Arial" w:cs="Arial"/>
          <w:i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75659C">
        <w:rPr>
          <w:rFonts w:ascii="Arial" w:hAnsi="Arial" w:cs="Arial"/>
          <w:sz w:val="18"/>
          <w:szCs w:val="18"/>
          <w:lang w:val="bs-Latn-BA"/>
        </w:rPr>
        <w:t xml:space="preserve"> </w:t>
      </w:r>
      <w:r w:rsidRPr="0075659C">
        <w:rPr>
          <w:rFonts w:ascii="Arial" w:hAnsi="Arial" w:cs="Arial"/>
          <w:i/>
          <w:sz w:val="18"/>
          <w:szCs w:val="18"/>
          <w:lang w:val="bs-Latn-BA"/>
        </w:rPr>
        <w:t>National Social Inclusion Strategy</w:t>
      </w:r>
    </w:p>
  </w:footnote>
  <w:footnote w:id="30">
    <w:p w:rsidR="00783DF6" w:rsidRPr="0075659C" w:rsidRDefault="00783DF6" w:rsidP="009F6E19">
      <w:pPr>
        <w:pStyle w:val="NoSpacing"/>
        <w:rPr>
          <w:rFonts w:ascii="Arial" w:hAnsi="Arial" w:cs="Arial"/>
          <w:bCs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="0075659C" w:rsidRPr="0075659C">
        <w:rPr>
          <w:rFonts w:ascii="Arial" w:hAnsi="Arial" w:cs="Arial"/>
          <w:bCs/>
          <w:sz w:val="18"/>
          <w:szCs w:val="18"/>
          <w:lang w:val="bs-Latn-BA"/>
        </w:rPr>
        <w:t xml:space="preserve"> </w:t>
      </w:r>
      <w:r w:rsidR="0075659C" w:rsidRPr="0075659C">
        <w:rPr>
          <w:rFonts w:ascii="Arial" w:hAnsi="Arial" w:cs="Arial"/>
          <w:sz w:val="18"/>
          <w:szCs w:val="18"/>
          <w:lang w:val="bs-Latn-BA"/>
        </w:rPr>
        <w:t xml:space="preserve">Istraživanje Fondacije za razvoj ekonomske nauke (2013.)  </w:t>
      </w:r>
      <w:hyperlink r:id="rId11" w:history="1">
        <w:r w:rsidRPr="0075659C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http://www.fren.org.rs/sites/default/files/Procena_uticaja_politika_u_oblasti_zapošljavanja.pdf</w:t>
        </w:r>
      </w:hyperlink>
    </w:p>
  </w:footnote>
  <w:footnote w:id="31">
    <w:p w:rsidR="00783DF6" w:rsidRPr="0075659C" w:rsidRDefault="00783DF6" w:rsidP="009F6E19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75659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="0075659C" w:rsidRPr="0075659C">
        <w:rPr>
          <w:rFonts w:ascii="Arial" w:hAnsi="Arial" w:cs="Arial"/>
          <w:sz w:val="18"/>
          <w:szCs w:val="18"/>
          <w:lang w:val="bs-Latn-BA"/>
        </w:rPr>
        <w:t xml:space="preserve"> Prema: Penev, G.: Projekcije stanovništva Srbije od 2010. do 2060. godine</w:t>
      </w:r>
    </w:p>
    <w:p w:rsidR="00783DF6" w:rsidRPr="00BC7F87" w:rsidRDefault="00A56C5D" w:rsidP="009F6E19">
      <w:pPr>
        <w:pStyle w:val="NoSpacing"/>
        <w:rPr>
          <w:rFonts w:ascii="Arial" w:hAnsi="Arial" w:cs="Arial"/>
          <w:sz w:val="18"/>
          <w:szCs w:val="18"/>
          <w:lang w:val="sr-Cyrl-CS"/>
        </w:rPr>
      </w:pPr>
      <w:hyperlink r:id="rId12" w:history="1">
        <w:r w:rsidR="00783DF6" w:rsidRPr="0075659C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http://www.fiskalnisavet.rs/images/izvestaji/srbija_popproj_2010-2060_penev.pdf</w:t>
        </w:r>
      </w:hyperlink>
    </w:p>
  </w:footnote>
  <w:footnote w:id="32">
    <w:p w:rsidR="00783DF6" w:rsidRPr="00BC7F87" w:rsidRDefault="00783DF6" w:rsidP="009F6E19">
      <w:pPr>
        <w:pStyle w:val="FootnoteText"/>
        <w:rPr>
          <w:rStyle w:val="mw-headline"/>
          <w:rFonts w:ascii="Arial" w:hAnsi="Arial" w:cs="Arial"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Style w:val="mw-headline"/>
          <w:rFonts w:ascii="Arial" w:hAnsi="Arial" w:cs="Arial"/>
          <w:sz w:val="18"/>
          <w:szCs w:val="18"/>
          <w:lang w:val="sr-Latn-CS"/>
        </w:rPr>
        <w:t>Eurostat, online data, 2013.</w:t>
      </w:r>
    </w:p>
    <w:p w:rsidR="00783DF6" w:rsidRPr="00BC7F87" w:rsidRDefault="00A56C5D" w:rsidP="009F6E19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hyperlink r:id="rId13" w:tooltip="Glossary:Youth unemployment rate" w:history="1">
        <w:r w:rsidR="00783DF6" w:rsidRPr="00BC7F87">
          <w:rPr>
            <w:rFonts w:ascii="Arial" w:hAnsi="Arial" w:cs="Arial"/>
            <w:color w:val="0000FF"/>
            <w:sz w:val="18"/>
            <w:szCs w:val="18"/>
            <w:u w:val="single"/>
            <w:lang w:val="en"/>
          </w:rPr>
          <w:t>Youth unemployment rates</w:t>
        </w:r>
      </w:hyperlink>
    </w:p>
  </w:footnote>
  <w:footnote w:id="33">
    <w:p w:rsidR="00783DF6" w:rsidRPr="00322A45" w:rsidRDefault="00783DF6" w:rsidP="009F6E19">
      <w:pPr>
        <w:pStyle w:val="FootnoteText"/>
        <w:rPr>
          <w:rStyle w:val="mw-headline"/>
          <w:rFonts w:ascii="Arial" w:hAnsi="Arial" w:cs="Arial"/>
          <w:sz w:val="18"/>
          <w:szCs w:val="18"/>
          <w:lang w:val="bs-Cyrl-BA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Style w:val="mw-headline"/>
          <w:rFonts w:ascii="Arial" w:hAnsi="Arial" w:cs="Arial"/>
          <w:sz w:val="18"/>
          <w:szCs w:val="18"/>
          <w:lang w:val="sr-Latn-CS"/>
        </w:rPr>
        <w:t>Eurostat, online data, 2013.</w:t>
      </w:r>
      <w:r w:rsidRPr="00BC7F87">
        <w:rPr>
          <w:rStyle w:val="mw-headline"/>
          <w:rFonts w:ascii="Arial" w:hAnsi="Arial" w:cs="Arial"/>
          <w:sz w:val="18"/>
          <w:szCs w:val="18"/>
          <w:lang w:val="sr-Cyrl-CS"/>
        </w:rPr>
        <w:t xml:space="preserve">, </w:t>
      </w:r>
      <w:r w:rsidR="0075659C">
        <w:rPr>
          <w:rFonts w:ascii="Arial" w:hAnsi="Arial" w:cs="Arial"/>
          <w:sz w:val="18"/>
          <w:szCs w:val="18"/>
          <w:lang w:val="sr-Latn-RS"/>
        </w:rPr>
        <w:t>Grafikon</w:t>
      </w:r>
      <w:r w:rsidRPr="00BC7F87">
        <w:rPr>
          <w:rFonts w:ascii="Arial" w:hAnsi="Arial" w:cs="Arial"/>
          <w:sz w:val="18"/>
          <w:szCs w:val="18"/>
          <w:lang w:val="sr-Cyrl-CS"/>
        </w:rPr>
        <w:t xml:space="preserve"> 5</w:t>
      </w:r>
      <w:r w:rsidRPr="00BC7F87">
        <w:rPr>
          <w:rFonts w:ascii="Arial" w:hAnsi="Arial" w:cs="Arial"/>
          <w:sz w:val="18"/>
          <w:szCs w:val="18"/>
        </w:rPr>
        <w:t>.</w:t>
      </w:r>
      <w:r w:rsidRPr="00BC7F87">
        <w:rPr>
          <w:rStyle w:val="mw-headline"/>
          <w:rFonts w:ascii="Arial" w:hAnsi="Arial" w:cs="Arial"/>
          <w:sz w:val="18"/>
          <w:szCs w:val="18"/>
        </w:rPr>
        <w:t xml:space="preserve"> </w:t>
      </w:r>
      <w:r w:rsidRPr="00322A45">
        <w:rPr>
          <w:rStyle w:val="mw-headline"/>
          <w:rFonts w:ascii="Arial" w:hAnsi="Arial" w:cs="Arial"/>
          <w:i/>
          <w:sz w:val="18"/>
          <w:szCs w:val="18"/>
          <w:lang w:val="bs-Cyrl-BA"/>
        </w:rPr>
        <w:t>Unemployment rate 2001-2012</w:t>
      </w:r>
      <w:r w:rsidRPr="00322A45">
        <w:rPr>
          <w:rStyle w:val="mw-headline"/>
          <w:rFonts w:ascii="Arial" w:hAnsi="Arial" w:cs="Arial"/>
          <w:sz w:val="18"/>
          <w:szCs w:val="18"/>
          <w:lang w:val="bs-Cyrl-BA"/>
        </w:rPr>
        <w:t xml:space="preserve">. </w:t>
      </w:r>
    </w:p>
    <w:p w:rsidR="00783DF6" w:rsidRPr="00EB13A6" w:rsidRDefault="00783DF6" w:rsidP="009F6E19">
      <w:pPr>
        <w:pStyle w:val="FootnoteText"/>
        <w:rPr>
          <w:rFonts w:ascii="Arial" w:hAnsi="Arial" w:cs="Arial"/>
          <w:sz w:val="16"/>
          <w:szCs w:val="16"/>
        </w:rPr>
      </w:pPr>
      <w:bookmarkStart w:id="8" w:name="_GoBack"/>
      <w:bookmarkEnd w:id="8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38F"/>
    <w:multiLevelType w:val="hybridMultilevel"/>
    <w:tmpl w:val="6876F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3D40C1"/>
    <w:multiLevelType w:val="hybridMultilevel"/>
    <w:tmpl w:val="9F9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C6571"/>
    <w:multiLevelType w:val="hybridMultilevel"/>
    <w:tmpl w:val="534E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5A1"/>
    <w:multiLevelType w:val="hybridMultilevel"/>
    <w:tmpl w:val="15DA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3C92"/>
    <w:multiLevelType w:val="hybridMultilevel"/>
    <w:tmpl w:val="B49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A6573"/>
    <w:multiLevelType w:val="hybridMultilevel"/>
    <w:tmpl w:val="B91CFF34"/>
    <w:lvl w:ilvl="0" w:tplc="5614B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19"/>
    <w:rsid w:val="00322A45"/>
    <w:rsid w:val="0035209A"/>
    <w:rsid w:val="005666DA"/>
    <w:rsid w:val="00674804"/>
    <w:rsid w:val="006E2083"/>
    <w:rsid w:val="006E754A"/>
    <w:rsid w:val="0075659C"/>
    <w:rsid w:val="00781909"/>
    <w:rsid w:val="00783DF6"/>
    <w:rsid w:val="00804697"/>
    <w:rsid w:val="00992DA3"/>
    <w:rsid w:val="009F6E19"/>
    <w:rsid w:val="00A12226"/>
    <w:rsid w:val="00A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6D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D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Heading3">
    <w:name w:val="heading 3"/>
    <w:basedOn w:val="Normal"/>
    <w:link w:val="Heading3Char"/>
    <w:uiPriority w:val="9"/>
    <w:qFormat/>
    <w:rsid w:val="009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DA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6DA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E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9F6E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E19"/>
    <w:rPr>
      <w:vertAlign w:val="superscript"/>
    </w:rPr>
  </w:style>
  <w:style w:type="table" w:styleId="TableGrid">
    <w:name w:val="Table Grid"/>
    <w:basedOn w:val="TableNormal"/>
    <w:uiPriority w:val="59"/>
    <w:rsid w:val="009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E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19"/>
  </w:style>
  <w:style w:type="paragraph" w:styleId="Footer">
    <w:name w:val="footer"/>
    <w:basedOn w:val="Normal"/>
    <w:link w:val="FooterChar"/>
    <w:uiPriority w:val="99"/>
    <w:unhideWhenUsed/>
    <w:rsid w:val="009F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19"/>
  </w:style>
  <w:style w:type="character" w:customStyle="1" w:styleId="hps">
    <w:name w:val="hps"/>
    <w:rsid w:val="009F6E19"/>
  </w:style>
  <w:style w:type="character" w:customStyle="1" w:styleId="longtext">
    <w:name w:val="long_text"/>
    <w:basedOn w:val="DefaultParagraphFont"/>
    <w:rsid w:val="009F6E19"/>
  </w:style>
  <w:style w:type="character" w:customStyle="1" w:styleId="mw-headline">
    <w:name w:val="mw-headline"/>
    <w:basedOn w:val="DefaultParagraphFont"/>
    <w:rsid w:val="009F6E19"/>
  </w:style>
  <w:style w:type="paragraph" w:customStyle="1" w:styleId="Default">
    <w:name w:val="Default"/>
    <w:rsid w:val="009F6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6E19"/>
    <w:rPr>
      <w:b/>
      <w:bCs/>
    </w:rPr>
  </w:style>
  <w:style w:type="paragraph" w:styleId="NormalWeb">
    <w:name w:val="Normal (Web)"/>
    <w:basedOn w:val="Normal"/>
    <w:uiPriority w:val="99"/>
    <w:unhideWhenUsed/>
    <w:rsid w:val="009F6E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9F6E19"/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styleId="HTMLCite">
    <w:name w:val="HTML Cite"/>
    <w:basedOn w:val="DefaultParagraphFont"/>
    <w:semiHidden/>
    <w:unhideWhenUsed/>
    <w:rsid w:val="009F6E19"/>
    <w:rPr>
      <w:i/>
      <w:iCs/>
    </w:rPr>
  </w:style>
  <w:style w:type="paragraph" w:customStyle="1" w:styleId="align-center">
    <w:name w:val="align-center"/>
    <w:basedOn w:val="Normal"/>
    <w:rsid w:val="009F6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F6E19"/>
    <w:pPr>
      <w:spacing w:after="100"/>
    </w:pPr>
    <w:rPr>
      <w:rFonts w:ascii="Arial" w:hAnsi="Arial"/>
      <w:sz w:val="20"/>
    </w:rPr>
  </w:style>
  <w:style w:type="paragraph" w:styleId="NoSpacing">
    <w:name w:val="No Spacing"/>
    <w:link w:val="NoSpacingChar"/>
    <w:uiPriority w:val="1"/>
    <w:qFormat/>
    <w:rsid w:val="009F6E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666DA"/>
  </w:style>
  <w:style w:type="paragraph" w:styleId="TOC2">
    <w:name w:val="toc 2"/>
    <w:basedOn w:val="Normal"/>
    <w:next w:val="Normal"/>
    <w:autoRedefine/>
    <w:uiPriority w:val="39"/>
    <w:unhideWhenUsed/>
    <w:rsid w:val="00992DA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6D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D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Heading3">
    <w:name w:val="heading 3"/>
    <w:basedOn w:val="Normal"/>
    <w:link w:val="Heading3Char"/>
    <w:uiPriority w:val="9"/>
    <w:qFormat/>
    <w:rsid w:val="009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DA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6DA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E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9F6E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E19"/>
    <w:rPr>
      <w:vertAlign w:val="superscript"/>
    </w:rPr>
  </w:style>
  <w:style w:type="table" w:styleId="TableGrid">
    <w:name w:val="Table Grid"/>
    <w:basedOn w:val="TableNormal"/>
    <w:uiPriority w:val="59"/>
    <w:rsid w:val="009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E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19"/>
  </w:style>
  <w:style w:type="paragraph" w:styleId="Footer">
    <w:name w:val="footer"/>
    <w:basedOn w:val="Normal"/>
    <w:link w:val="FooterChar"/>
    <w:uiPriority w:val="99"/>
    <w:unhideWhenUsed/>
    <w:rsid w:val="009F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19"/>
  </w:style>
  <w:style w:type="character" w:customStyle="1" w:styleId="hps">
    <w:name w:val="hps"/>
    <w:rsid w:val="009F6E19"/>
  </w:style>
  <w:style w:type="character" w:customStyle="1" w:styleId="longtext">
    <w:name w:val="long_text"/>
    <w:basedOn w:val="DefaultParagraphFont"/>
    <w:rsid w:val="009F6E19"/>
  </w:style>
  <w:style w:type="character" w:customStyle="1" w:styleId="mw-headline">
    <w:name w:val="mw-headline"/>
    <w:basedOn w:val="DefaultParagraphFont"/>
    <w:rsid w:val="009F6E19"/>
  </w:style>
  <w:style w:type="paragraph" w:customStyle="1" w:styleId="Default">
    <w:name w:val="Default"/>
    <w:rsid w:val="009F6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6E19"/>
    <w:rPr>
      <w:b/>
      <w:bCs/>
    </w:rPr>
  </w:style>
  <w:style w:type="paragraph" w:styleId="NormalWeb">
    <w:name w:val="Normal (Web)"/>
    <w:basedOn w:val="Normal"/>
    <w:uiPriority w:val="99"/>
    <w:unhideWhenUsed/>
    <w:rsid w:val="009F6E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9F6E19"/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styleId="HTMLCite">
    <w:name w:val="HTML Cite"/>
    <w:basedOn w:val="DefaultParagraphFont"/>
    <w:semiHidden/>
    <w:unhideWhenUsed/>
    <w:rsid w:val="009F6E19"/>
    <w:rPr>
      <w:i/>
      <w:iCs/>
    </w:rPr>
  </w:style>
  <w:style w:type="paragraph" w:customStyle="1" w:styleId="align-center">
    <w:name w:val="align-center"/>
    <w:basedOn w:val="Normal"/>
    <w:rsid w:val="009F6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F6E19"/>
    <w:pPr>
      <w:spacing w:after="100"/>
    </w:pPr>
    <w:rPr>
      <w:rFonts w:ascii="Arial" w:hAnsi="Arial"/>
      <w:sz w:val="20"/>
    </w:rPr>
  </w:style>
  <w:style w:type="paragraph" w:styleId="NoSpacing">
    <w:name w:val="No Spacing"/>
    <w:link w:val="NoSpacingChar"/>
    <w:uiPriority w:val="1"/>
    <w:qFormat/>
    <w:rsid w:val="009F6E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666DA"/>
  </w:style>
  <w:style w:type="paragraph" w:styleId="TOC2">
    <w:name w:val="toc 2"/>
    <w:basedOn w:val="Normal"/>
    <w:next w:val="Normal"/>
    <w:autoRedefine/>
    <w:uiPriority w:val="39"/>
    <w:unhideWhenUsed/>
    <w:rsid w:val="00992DA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prd.secure.europarl.europa.eu/ecprd/secured/detailreq.do?id=1658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pp.eurostat.ec.europa.eu/statistics_explained/index.php/Unemployment_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prd.secure.europarl.europa.eu/ecprd/secured/detailreq.do?id=165833" TargetMode="External"/><Relationship Id="rId13" Type="http://schemas.openxmlformats.org/officeDocument/2006/relationships/hyperlink" Target="http://epp.eurostat.ec.europa.eu/statistics_explained/index.php/Glossary:Youth_unemployment_rate" TargetMode="External"/><Relationship Id="rId3" Type="http://schemas.openxmlformats.org/officeDocument/2006/relationships/hyperlink" Target="http://www.sindikat.rs/ekonomija_files/statistika/Osnovni%20podaci_1_2013.pdf" TargetMode="External"/><Relationship Id="rId7" Type="http://schemas.openxmlformats.org/officeDocument/2006/relationships/hyperlink" Target="http://www.ombudsman.rs/attachments/Nacrt%2009.11.11..doc" TargetMode="External"/><Relationship Id="rId12" Type="http://schemas.openxmlformats.org/officeDocument/2006/relationships/hyperlink" Target="http://www.fiskalnisavet.rs/images/izvestaji/srbija_popproj_2010-2060_penev.pdf" TargetMode="External"/><Relationship Id="rId2" Type="http://schemas.openxmlformats.org/officeDocument/2006/relationships/hyperlink" Target="http://www.fren.org.rs/sites/default/files/Procena_uticaja_politika_u_oblasti_zapo&#353;ljavanja.pdf" TargetMode="External"/><Relationship Id="rId1" Type="http://schemas.openxmlformats.org/officeDocument/2006/relationships/hyperlink" Target="http://bif.rs/2013/10/najveci-broj-dugorocno-nezaposlenih-u-zemljama-oecd-od-izbijanja-krize/" TargetMode="External"/><Relationship Id="rId6" Type="http://schemas.openxmlformats.org/officeDocument/2006/relationships/hyperlink" Target="http://www.minrzs.gov.rs/doc/porodica/strategije/Nacionalni%20plan%20akcije%20za%20decu.pdf" TargetMode="External"/><Relationship Id="rId11" Type="http://schemas.openxmlformats.org/officeDocument/2006/relationships/hyperlink" Target="http://www.fren.org.rs/sites/default/files/Procena_uticaja_politika_u_oblasti_zapo&#353;ljavanja.pdf" TargetMode="External"/><Relationship Id="rId5" Type="http://schemas.openxmlformats.org/officeDocument/2006/relationships/hyperlink" Target="http://www.mos.gov.rs/&#1076;&#1086;&#1082;&#1091;&#1084;&#1077;&#1085;&#1090;&#1072;/&#1089;&#1087;&#1086;&#1088;&#1090;.212.html" TargetMode="External"/><Relationship Id="rId10" Type="http://schemas.openxmlformats.org/officeDocument/2006/relationships/hyperlink" Target="http://romagov.kormany.hu/download/a/58/20000/Strategy%20Action%20Plan.pdf" TargetMode="External"/><Relationship Id="rId4" Type="http://schemas.openxmlformats.org/officeDocument/2006/relationships/hyperlink" Target="http://www.fren.org.rs/sites/default/files/Procena_uticaja_politika_u_oblasti_zapo&#353;ljavanja.pdf" TargetMode="External"/><Relationship Id="rId9" Type="http://schemas.openxmlformats.org/officeDocument/2006/relationships/hyperlink" Target="http://romagov.kormany.hu/download/5/58/20000/Strategy%20-%20HU%20-%20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D68F-704E-4934-B11F-469DFCEF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8</cp:revision>
  <dcterms:created xsi:type="dcterms:W3CDTF">2013-11-29T11:11:00Z</dcterms:created>
  <dcterms:modified xsi:type="dcterms:W3CDTF">2013-11-29T12:42:00Z</dcterms:modified>
</cp:coreProperties>
</file>